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9A8E" w14:textId="77777777" w:rsidR="0064023A" w:rsidRDefault="0064023A" w:rsidP="00C42048">
      <w:pPr>
        <w:pStyle w:val="Heading2"/>
        <w:spacing w:after="120"/>
        <w:rPr>
          <w:sz w:val="28"/>
          <w:szCs w:val="22"/>
        </w:rPr>
      </w:pPr>
      <w:bookmarkStart w:id="0" w:name="_GoBack"/>
      <w:bookmarkEnd w:id="0"/>
    </w:p>
    <w:p w14:paraId="2076FB9A" w14:textId="77777777" w:rsidR="00802624" w:rsidRPr="00C42048" w:rsidRDefault="00E851E3" w:rsidP="00C42048">
      <w:pPr>
        <w:pStyle w:val="Heading2"/>
        <w:spacing w:after="120"/>
        <w:rPr>
          <w:sz w:val="28"/>
          <w:szCs w:val="22"/>
        </w:rPr>
      </w:pPr>
      <w:r>
        <w:rPr>
          <w:sz w:val="28"/>
          <w:szCs w:val="22"/>
        </w:rPr>
        <w:t>In this edition</w:t>
      </w:r>
    </w:p>
    <w:p w14:paraId="0F9EF766" w14:textId="77777777" w:rsidR="00C42048" w:rsidRDefault="00E851E3" w:rsidP="00E851E3">
      <w:pPr>
        <w:spacing w:before="0"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This edition of TEI Inform includes an update on</w:t>
      </w:r>
      <w:r w:rsidR="001D4DDA">
        <w:rPr>
          <w:color w:val="000000" w:themeColor="text1"/>
          <w:sz w:val="22"/>
          <w:szCs w:val="22"/>
        </w:rPr>
        <w:t>:</w:t>
      </w:r>
    </w:p>
    <w:p w14:paraId="6085BD39" w14:textId="77777777" w:rsidR="001D4DDA" w:rsidRDefault="00E851E3" w:rsidP="005F645A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Provider-led discussions with Districts</w:t>
      </w:r>
    </w:p>
    <w:p w14:paraId="05B92441" w14:textId="77777777" w:rsidR="00E851E3" w:rsidRDefault="00C71294" w:rsidP="005F645A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TEI </w:t>
      </w:r>
      <w:r w:rsidR="001D4DDA">
        <w:rPr>
          <w:color w:val="000000" w:themeColor="text1"/>
          <w:sz w:val="22"/>
        </w:rPr>
        <w:t>pathways</w:t>
      </w:r>
      <w:r w:rsidR="0076310C">
        <w:rPr>
          <w:color w:val="000000" w:themeColor="text1"/>
          <w:sz w:val="22"/>
        </w:rPr>
        <w:t xml:space="preserve"> and </w:t>
      </w:r>
      <w:r w:rsidR="00EA158B">
        <w:rPr>
          <w:color w:val="000000" w:themeColor="text1"/>
          <w:sz w:val="22"/>
        </w:rPr>
        <w:t xml:space="preserve">activity </w:t>
      </w:r>
      <w:r w:rsidR="0076310C">
        <w:rPr>
          <w:color w:val="000000" w:themeColor="text1"/>
          <w:sz w:val="22"/>
        </w:rPr>
        <w:t>mapping</w:t>
      </w:r>
    </w:p>
    <w:p w14:paraId="2AB07E59" w14:textId="77777777" w:rsidR="001D4DDA" w:rsidRDefault="001D4DDA" w:rsidP="005F645A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Sector Assistance Strategy update</w:t>
      </w:r>
    </w:p>
    <w:p w14:paraId="4FEBE0AA" w14:textId="77777777" w:rsidR="0064023A" w:rsidRDefault="0064023A" w:rsidP="005F645A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Evidence and Evaluation Fund</w:t>
      </w:r>
    </w:p>
    <w:p w14:paraId="2716CCC6" w14:textId="77777777" w:rsidR="00326CA1" w:rsidRDefault="00326CA1" w:rsidP="005F645A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What Works</w:t>
      </w:r>
    </w:p>
    <w:p w14:paraId="30BA9ACD" w14:textId="77777777" w:rsidR="007D4CD2" w:rsidRPr="00C42048" w:rsidRDefault="007D4CD2" w:rsidP="007D4CD2">
      <w:pPr>
        <w:pStyle w:val="Heading2"/>
        <w:spacing w:after="120"/>
        <w:rPr>
          <w:sz w:val="28"/>
          <w:szCs w:val="22"/>
        </w:rPr>
      </w:pPr>
      <w:r>
        <w:rPr>
          <w:sz w:val="28"/>
          <w:szCs w:val="22"/>
        </w:rPr>
        <w:t>Provider-led discussions with FACS Districts</w:t>
      </w:r>
      <w:r w:rsidRPr="00C42048">
        <w:rPr>
          <w:sz w:val="28"/>
          <w:szCs w:val="22"/>
        </w:rPr>
        <w:t xml:space="preserve"> </w:t>
      </w:r>
    </w:p>
    <w:p w14:paraId="01D18045" w14:textId="77777777" w:rsidR="007D4CD2" w:rsidRDefault="007D4CD2" w:rsidP="007D4CD2">
      <w:pPr>
        <w:spacing w:befor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District p</w:t>
      </w:r>
      <w:r w:rsidRPr="005E2F6F">
        <w:rPr>
          <w:color w:val="000000" w:themeColor="text1"/>
          <w:sz w:val="22"/>
        </w:rPr>
        <w:t>lans</w:t>
      </w:r>
      <w:r>
        <w:rPr>
          <w:color w:val="000000" w:themeColor="text1"/>
          <w:sz w:val="22"/>
        </w:rPr>
        <w:t xml:space="preserve"> are being updated </w:t>
      </w:r>
      <w:r w:rsidRPr="005E2F6F">
        <w:rPr>
          <w:color w:val="000000" w:themeColor="text1"/>
          <w:sz w:val="22"/>
        </w:rPr>
        <w:t>with the latest available data</w:t>
      </w:r>
      <w:r>
        <w:rPr>
          <w:color w:val="000000" w:themeColor="text1"/>
          <w:sz w:val="22"/>
        </w:rPr>
        <w:t>, and will be published on the FACS website. The plans will provide a</w:t>
      </w:r>
      <w:r w:rsidR="006B6879">
        <w:rPr>
          <w:color w:val="000000" w:themeColor="text1"/>
          <w:sz w:val="22"/>
        </w:rPr>
        <w:t xml:space="preserve"> District </w:t>
      </w:r>
      <w:r>
        <w:rPr>
          <w:color w:val="000000" w:themeColor="text1"/>
          <w:sz w:val="22"/>
        </w:rPr>
        <w:t xml:space="preserve">overview </w:t>
      </w:r>
      <w:r w:rsidR="006B6879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>nd priorities for the District.</w:t>
      </w:r>
      <w:r w:rsidRPr="005E2F6F">
        <w:rPr>
          <w:color w:val="000000" w:themeColor="text1"/>
          <w:sz w:val="22"/>
        </w:rPr>
        <w:t xml:space="preserve"> </w:t>
      </w:r>
    </w:p>
    <w:p w14:paraId="5D3289B7" w14:textId="77777777" w:rsidR="006B6879" w:rsidRDefault="006B6879" w:rsidP="006B6879">
      <w:pPr>
        <w:rPr>
          <w:sz w:val="22"/>
          <w:szCs w:val="22"/>
        </w:rPr>
      </w:pPr>
      <w:r>
        <w:rPr>
          <w:color w:val="000000" w:themeColor="text1"/>
          <w:sz w:val="22"/>
        </w:rPr>
        <w:t>FACS will not ask service providers to make changes to activities, locations or client groups, h</w:t>
      </w:r>
      <w:r>
        <w:rPr>
          <w:sz w:val="22"/>
          <w:szCs w:val="22"/>
        </w:rPr>
        <w:t>owever</w:t>
      </w:r>
      <w:r w:rsidRPr="00343A87">
        <w:rPr>
          <w:sz w:val="22"/>
          <w:szCs w:val="22"/>
        </w:rPr>
        <w:t xml:space="preserve"> service providers may </w:t>
      </w:r>
      <w:r>
        <w:rPr>
          <w:sz w:val="22"/>
          <w:szCs w:val="22"/>
        </w:rPr>
        <w:t>request</w:t>
      </w:r>
      <w:r w:rsidRPr="00343A87">
        <w:rPr>
          <w:sz w:val="22"/>
          <w:szCs w:val="22"/>
        </w:rPr>
        <w:t xml:space="preserve"> </w:t>
      </w:r>
      <w:r w:rsidR="000A0869">
        <w:rPr>
          <w:sz w:val="22"/>
          <w:szCs w:val="22"/>
        </w:rPr>
        <w:t xml:space="preserve">positive </w:t>
      </w:r>
      <w:r w:rsidRPr="00343A87">
        <w:rPr>
          <w:sz w:val="22"/>
          <w:szCs w:val="22"/>
        </w:rPr>
        <w:t>change</w:t>
      </w:r>
      <w:r>
        <w:rPr>
          <w:sz w:val="22"/>
          <w:szCs w:val="22"/>
        </w:rPr>
        <w:t>s</w:t>
      </w:r>
      <w:r w:rsidRPr="00343A87">
        <w:rPr>
          <w:sz w:val="22"/>
          <w:szCs w:val="22"/>
        </w:rPr>
        <w:t xml:space="preserve"> consistent with District priorities. </w:t>
      </w:r>
    </w:p>
    <w:p w14:paraId="76DA2997" w14:textId="77777777" w:rsidR="009C0215" w:rsidRDefault="007D4CD2" w:rsidP="007D4CD2">
      <w:pPr>
        <w:rPr>
          <w:color w:val="000000" w:themeColor="text1"/>
          <w:sz w:val="22"/>
        </w:rPr>
      </w:pPr>
      <w:r w:rsidRPr="00BF0171">
        <w:rPr>
          <w:color w:val="000000" w:themeColor="text1"/>
          <w:sz w:val="22"/>
        </w:rPr>
        <w:t>No</w:t>
      </w:r>
      <w:r w:rsidRPr="00343A87">
        <w:rPr>
          <w:color w:val="000000" w:themeColor="text1"/>
          <w:sz w:val="22"/>
        </w:rPr>
        <w:t xml:space="preserve"> changes </w:t>
      </w:r>
      <w:r>
        <w:rPr>
          <w:color w:val="000000" w:themeColor="text1"/>
          <w:sz w:val="22"/>
        </w:rPr>
        <w:t>will</w:t>
      </w:r>
      <w:r w:rsidRPr="00343A87">
        <w:rPr>
          <w:color w:val="000000" w:themeColor="text1"/>
          <w:sz w:val="22"/>
        </w:rPr>
        <w:t xml:space="preserve"> be made to Program Level Agreements (PLA) or Service Delivery Schedules (SDS)</w:t>
      </w:r>
      <w:r w:rsidR="009C0215">
        <w:rPr>
          <w:color w:val="000000" w:themeColor="text1"/>
          <w:sz w:val="22"/>
        </w:rPr>
        <w:t xml:space="preserve">. </w:t>
      </w:r>
    </w:p>
    <w:p w14:paraId="2A7A7D38" w14:textId="77777777" w:rsidR="007D4CD2" w:rsidRDefault="009C0215" w:rsidP="007D4CD2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Funding, under existing contracts will remain the same through to 30 June 2020.</w:t>
      </w:r>
      <w:r w:rsidR="007D4CD2">
        <w:rPr>
          <w:color w:val="000000" w:themeColor="text1"/>
          <w:sz w:val="22"/>
        </w:rPr>
        <w:t xml:space="preserve"> </w:t>
      </w:r>
    </w:p>
    <w:p w14:paraId="38228E75" w14:textId="77777777" w:rsidR="001D4DDA" w:rsidRPr="00C42048" w:rsidRDefault="00C71294" w:rsidP="001D4DDA">
      <w:pPr>
        <w:pStyle w:val="Heading2"/>
        <w:spacing w:after="120"/>
        <w:rPr>
          <w:sz w:val="28"/>
          <w:szCs w:val="22"/>
        </w:rPr>
      </w:pPr>
      <w:r>
        <w:rPr>
          <w:sz w:val="28"/>
          <w:szCs w:val="22"/>
        </w:rPr>
        <w:t xml:space="preserve">TEI </w:t>
      </w:r>
      <w:r w:rsidR="001D4DDA">
        <w:rPr>
          <w:sz w:val="28"/>
          <w:szCs w:val="22"/>
        </w:rPr>
        <w:t>pathways</w:t>
      </w:r>
      <w:r w:rsidR="001D4DDA" w:rsidRPr="00C42048">
        <w:rPr>
          <w:sz w:val="28"/>
          <w:szCs w:val="22"/>
        </w:rPr>
        <w:t xml:space="preserve"> </w:t>
      </w:r>
      <w:r w:rsidR="0076310C">
        <w:rPr>
          <w:sz w:val="28"/>
          <w:szCs w:val="22"/>
        </w:rPr>
        <w:t xml:space="preserve">and </w:t>
      </w:r>
      <w:r w:rsidR="00EA158B">
        <w:rPr>
          <w:sz w:val="28"/>
          <w:szCs w:val="22"/>
        </w:rPr>
        <w:t xml:space="preserve">activity </w:t>
      </w:r>
      <w:r w:rsidR="0076310C">
        <w:rPr>
          <w:sz w:val="28"/>
          <w:szCs w:val="22"/>
        </w:rPr>
        <w:t>mapping</w:t>
      </w:r>
    </w:p>
    <w:p w14:paraId="20BFF26D" w14:textId="77777777" w:rsidR="007D4CD2" w:rsidRDefault="007D4CD2" w:rsidP="007D4CD2">
      <w:pPr>
        <w:spacing w:before="0"/>
        <w:rPr>
          <w:sz w:val="22"/>
          <w:szCs w:val="22"/>
        </w:rPr>
      </w:pPr>
      <w:r>
        <w:rPr>
          <w:sz w:val="22"/>
          <w:szCs w:val="22"/>
        </w:rPr>
        <w:t>There are t</w:t>
      </w:r>
      <w:r w:rsidR="009C0215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pathways available for service providers, </w:t>
      </w:r>
      <w:r w:rsidR="0090365B">
        <w:rPr>
          <w:sz w:val="22"/>
          <w:szCs w:val="22"/>
        </w:rPr>
        <w:t xml:space="preserve">both </w:t>
      </w:r>
      <w:r w:rsidR="00C71294">
        <w:rPr>
          <w:sz w:val="22"/>
          <w:szCs w:val="22"/>
        </w:rPr>
        <w:t xml:space="preserve">of </w:t>
      </w:r>
      <w:r>
        <w:rPr>
          <w:sz w:val="22"/>
          <w:szCs w:val="22"/>
        </w:rPr>
        <w:t>which involve retaining the current funding commitment and contracts until 30 June 2020:</w:t>
      </w:r>
    </w:p>
    <w:p w14:paraId="7EC403DB" w14:textId="77777777" w:rsidR="007D4CD2" w:rsidRPr="00392C7F" w:rsidRDefault="007D4CD2" w:rsidP="009C0215">
      <w:pPr>
        <w:pStyle w:val="ListParagraph"/>
        <w:numPr>
          <w:ilvl w:val="0"/>
          <w:numId w:val="6"/>
        </w:numPr>
        <w:jc w:val="left"/>
        <w:rPr>
          <w:sz w:val="22"/>
        </w:rPr>
      </w:pPr>
      <w:r w:rsidRPr="00392C7F">
        <w:rPr>
          <w:b/>
          <w:sz w:val="22"/>
        </w:rPr>
        <w:t>Pathway 1 -</w:t>
      </w:r>
      <w:r>
        <w:rPr>
          <w:sz w:val="22"/>
        </w:rPr>
        <w:t xml:space="preserve"> service provider</w:t>
      </w:r>
      <w:r w:rsidRPr="00392C7F">
        <w:rPr>
          <w:sz w:val="22"/>
        </w:rPr>
        <w:t xml:space="preserve"> choose</w:t>
      </w:r>
      <w:r>
        <w:rPr>
          <w:sz w:val="22"/>
        </w:rPr>
        <w:t>s</w:t>
      </w:r>
      <w:r w:rsidRPr="00392C7F">
        <w:rPr>
          <w:sz w:val="22"/>
        </w:rPr>
        <w:t xml:space="preserve"> to </w:t>
      </w:r>
      <w:r w:rsidRPr="009C0215">
        <w:rPr>
          <w:b/>
          <w:sz w:val="22"/>
        </w:rPr>
        <w:t>align</w:t>
      </w:r>
      <w:r w:rsidRPr="00392C7F">
        <w:rPr>
          <w:sz w:val="22"/>
        </w:rPr>
        <w:t xml:space="preserve"> with the TEI Outcomes Framework</w:t>
      </w:r>
      <w:r w:rsidR="00B97DB3">
        <w:rPr>
          <w:sz w:val="22"/>
        </w:rPr>
        <w:t>, and review some of their activities</w:t>
      </w:r>
      <w:r w:rsidR="009C0215">
        <w:rPr>
          <w:sz w:val="22"/>
        </w:rPr>
        <w:t xml:space="preserve"> </w:t>
      </w:r>
    </w:p>
    <w:p w14:paraId="40D4D49B" w14:textId="77777777" w:rsidR="007D4CD2" w:rsidRDefault="007D4CD2" w:rsidP="009C0215">
      <w:pPr>
        <w:pStyle w:val="ListParagraph"/>
        <w:numPr>
          <w:ilvl w:val="0"/>
          <w:numId w:val="6"/>
        </w:numPr>
        <w:jc w:val="left"/>
        <w:rPr>
          <w:sz w:val="22"/>
        </w:rPr>
      </w:pPr>
      <w:r w:rsidRPr="00392C7F">
        <w:rPr>
          <w:b/>
          <w:sz w:val="22"/>
        </w:rPr>
        <w:t xml:space="preserve">Pathway </w:t>
      </w:r>
      <w:r w:rsidR="009C0215">
        <w:rPr>
          <w:b/>
          <w:sz w:val="22"/>
        </w:rPr>
        <w:t>2</w:t>
      </w:r>
      <w:r w:rsidRPr="00392C7F">
        <w:rPr>
          <w:b/>
          <w:sz w:val="22"/>
        </w:rPr>
        <w:t xml:space="preserve"> -</w:t>
      </w:r>
      <w:r>
        <w:rPr>
          <w:sz w:val="22"/>
        </w:rPr>
        <w:t xml:space="preserve"> service provider</w:t>
      </w:r>
      <w:r w:rsidRPr="00392C7F">
        <w:rPr>
          <w:sz w:val="22"/>
        </w:rPr>
        <w:t xml:space="preserve"> choose</w:t>
      </w:r>
      <w:r>
        <w:rPr>
          <w:sz w:val="22"/>
        </w:rPr>
        <w:t>s</w:t>
      </w:r>
      <w:r w:rsidRPr="00392C7F">
        <w:rPr>
          <w:sz w:val="22"/>
        </w:rPr>
        <w:t xml:space="preserve"> to </w:t>
      </w:r>
      <w:r w:rsidR="009C0215" w:rsidRPr="009C0215">
        <w:rPr>
          <w:b/>
          <w:sz w:val="22"/>
        </w:rPr>
        <w:t xml:space="preserve">not </w:t>
      </w:r>
      <w:r w:rsidRPr="009C0215">
        <w:rPr>
          <w:b/>
          <w:sz w:val="22"/>
        </w:rPr>
        <w:t>align</w:t>
      </w:r>
      <w:r w:rsidRPr="00392C7F">
        <w:rPr>
          <w:sz w:val="22"/>
        </w:rPr>
        <w:t xml:space="preserve"> with the TEI Outcomes Framework</w:t>
      </w:r>
      <w:r w:rsidR="00CF2312">
        <w:rPr>
          <w:sz w:val="22"/>
        </w:rPr>
        <w:t xml:space="preserve"> (existing </w:t>
      </w:r>
      <w:r w:rsidRPr="00392C7F">
        <w:rPr>
          <w:sz w:val="22"/>
        </w:rPr>
        <w:t>service delivery</w:t>
      </w:r>
      <w:r w:rsidR="00CF2312">
        <w:rPr>
          <w:sz w:val="22"/>
        </w:rPr>
        <w:t xml:space="preserve"> and program data collection continues)</w:t>
      </w:r>
      <w:r w:rsidRPr="00392C7F">
        <w:rPr>
          <w:sz w:val="22"/>
        </w:rPr>
        <w:t xml:space="preserve">. </w:t>
      </w:r>
    </w:p>
    <w:p w14:paraId="3FED1573" w14:textId="77777777" w:rsidR="006C545F" w:rsidRDefault="006C545F" w:rsidP="007D4CD2">
      <w:pPr>
        <w:rPr>
          <w:color w:val="4F81BD" w:themeColor="accent1"/>
          <w:sz w:val="22"/>
          <w:szCs w:val="22"/>
          <w:u w:val="single"/>
        </w:rPr>
      </w:pPr>
      <w:r>
        <w:rPr>
          <w:sz w:val="22"/>
          <w:szCs w:val="22"/>
        </w:rPr>
        <w:t>For more information about the t</w:t>
      </w:r>
      <w:r w:rsidR="00CF2312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pathways see the related flow </w:t>
      </w:r>
      <w:r w:rsidRPr="000914D0">
        <w:rPr>
          <w:sz w:val="22"/>
          <w:szCs w:val="22"/>
        </w:rPr>
        <w:t xml:space="preserve">chart </w:t>
      </w:r>
      <w:hyperlink r:id="rId8" w:history="1">
        <w:r w:rsidR="002E36BD" w:rsidRPr="002E36BD">
          <w:rPr>
            <w:rStyle w:val="Hyperlink"/>
          </w:rPr>
          <w:t>Provider-led Targeted Earlier Intervention (TEI) Pathways flow chart 2018</w:t>
        </w:r>
      </w:hyperlink>
      <w:r w:rsidRPr="000914D0">
        <w:rPr>
          <w:color w:val="4F81BD" w:themeColor="accent1"/>
          <w:sz w:val="22"/>
          <w:szCs w:val="22"/>
          <w:u w:val="single"/>
        </w:rPr>
        <w:t>.</w:t>
      </w:r>
    </w:p>
    <w:p w14:paraId="055CC023" w14:textId="77777777" w:rsidR="007D4CD2" w:rsidRPr="00435B43" w:rsidRDefault="007D4CD2" w:rsidP="007D4CD2">
      <w:pPr>
        <w:rPr>
          <w:color w:val="000000" w:themeColor="text1"/>
          <w:sz w:val="22"/>
        </w:rPr>
      </w:pPr>
      <w:r w:rsidRPr="00435B43">
        <w:rPr>
          <w:color w:val="000000" w:themeColor="text1"/>
          <w:sz w:val="22"/>
        </w:rPr>
        <w:t>The t</w:t>
      </w:r>
      <w:r w:rsidR="00CF2312">
        <w:rPr>
          <w:color w:val="000000" w:themeColor="text1"/>
          <w:sz w:val="22"/>
        </w:rPr>
        <w:t xml:space="preserve">wo </w:t>
      </w:r>
      <w:r w:rsidRPr="00435B43">
        <w:rPr>
          <w:color w:val="000000" w:themeColor="text1"/>
          <w:sz w:val="22"/>
        </w:rPr>
        <w:t>pathways will apply to 30 June 2020</w:t>
      </w:r>
      <w:r w:rsidR="00CF2312">
        <w:rPr>
          <w:color w:val="000000" w:themeColor="text1"/>
          <w:sz w:val="22"/>
        </w:rPr>
        <w:t>. W</w:t>
      </w:r>
      <w:r w:rsidRPr="00435B43">
        <w:rPr>
          <w:color w:val="000000" w:themeColor="text1"/>
          <w:sz w:val="22"/>
        </w:rPr>
        <w:t xml:space="preserve">hat happens from 1 July 2020 will be informed by </w:t>
      </w:r>
      <w:r w:rsidR="00CF2312" w:rsidRPr="00435B43">
        <w:rPr>
          <w:color w:val="000000" w:themeColor="text1"/>
          <w:sz w:val="22"/>
        </w:rPr>
        <w:t xml:space="preserve">re-commissioning </w:t>
      </w:r>
      <w:r w:rsidRPr="00435B43">
        <w:rPr>
          <w:color w:val="000000" w:themeColor="text1"/>
          <w:sz w:val="22"/>
        </w:rPr>
        <w:t xml:space="preserve">planning and design work with the sector </w:t>
      </w:r>
      <w:r w:rsidR="00CF2312">
        <w:rPr>
          <w:color w:val="000000" w:themeColor="text1"/>
          <w:sz w:val="22"/>
        </w:rPr>
        <w:t xml:space="preserve">through 2019. </w:t>
      </w:r>
    </w:p>
    <w:p w14:paraId="5243ACA5" w14:textId="77777777" w:rsidR="00AA070D" w:rsidRPr="00AA070D" w:rsidRDefault="00AA070D" w:rsidP="007D4CD2">
      <w:pPr>
        <w:spacing w:before="0"/>
        <w:rPr>
          <w:b/>
          <w:i/>
          <w:color w:val="FFC000"/>
        </w:rPr>
      </w:pPr>
      <w:r w:rsidRPr="00AA070D">
        <w:rPr>
          <w:b/>
          <w:i/>
          <w:color w:val="FFC000"/>
        </w:rPr>
        <w:t>Pathway 1</w:t>
      </w:r>
    </w:p>
    <w:p w14:paraId="09431D0C" w14:textId="77777777" w:rsidR="007D4CD2" w:rsidRDefault="007D4CD2" w:rsidP="007D4CD2">
      <w:pPr>
        <w:spacing w:before="0"/>
        <w:rPr>
          <w:color w:val="000000" w:themeColor="text1"/>
          <w:sz w:val="22"/>
        </w:rPr>
      </w:pPr>
      <w:r>
        <w:rPr>
          <w:sz w:val="22"/>
          <w:szCs w:val="22"/>
        </w:rPr>
        <w:t xml:space="preserve">Service providers choosing Pathway 1 will be trained and supported to use the </w:t>
      </w:r>
      <w:r w:rsidR="00CF2312">
        <w:rPr>
          <w:sz w:val="22"/>
          <w:szCs w:val="22"/>
        </w:rPr>
        <w:t xml:space="preserve">Department of Social Services </w:t>
      </w:r>
      <w:r>
        <w:rPr>
          <w:sz w:val="22"/>
          <w:szCs w:val="22"/>
        </w:rPr>
        <w:t>Data Exchange</w:t>
      </w:r>
      <w:r w:rsidR="00CF2312">
        <w:rPr>
          <w:sz w:val="22"/>
          <w:szCs w:val="22"/>
        </w:rPr>
        <w:t xml:space="preserve"> (DEX)</w:t>
      </w:r>
      <w:r>
        <w:rPr>
          <w:sz w:val="22"/>
          <w:szCs w:val="22"/>
        </w:rPr>
        <w:t xml:space="preserve">, and </w:t>
      </w:r>
      <w:r w:rsidR="00CF2312">
        <w:rPr>
          <w:sz w:val="22"/>
          <w:szCs w:val="22"/>
        </w:rPr>
        <w:t>the Personal Wellbeing Index</w:t>
      </w:r>
      <w:r w:rsidR="00ED0699">
        <w:rPr>
          <w:sz w:val="22"/>
          <w:szCs w:val="22"/>
        </w:rPr>
        <w:t>, and supported to develop program logics for their service delivery.</w:t>
      </w:r>
      <w:r w:rsidR="000A0869">
        <w:rPr>
          <w:sz w:val="22"/>
          <w:szCs w:val="22"/>
        </w:rPr>
        <w:t xml:space="preserve"> Service providers who choose this pathway will not be required to continue existing program </w:t>
      </w:r>
      <w:r w:rsidR="000A0869" w:rsidRPr="000A0869">
        <w:rPr>
          <w:color w:val="000000" w:themeColor="text1"/>
          <w:sz w:val="22"/>
        </w:rPr>
        <w:t>data reporting arrangements</w:t>
      </w:r>
      <w:r w:rsidR="000A0869">
        <w:rPr>
          <w:color w:val="000000" w:themeColor="text1"/>
          <w:sz w:val="22"/>
        </w:rPr>
        <w:t xml:space="preserve">, as DEX will replace these. </w:t>
      </w:r>
    </w:p>
    <w:p w14:paraId="6EBE066F" w14:textId="77777777" w:rsidR="00071740" w:rsidRDefault="004B3DEE" w:rsidP="004B3DEE">
      <w:pPr>
        <w:spacing w:before="0"/>
        <w:rPr>
          <w:sz w:val="22"/>
          <w:szCs w:val="22"/>
        </w:rPr>
      </w:pPr>
      <w:r w:rsidRPr="004B3DEE">
        <w:rPr>
          <w:sz w:val="22"/>
          <w:szCs w:val="22"/>
        </w:rPr>
        <w:t>DEX training for providers and FACS District staff will begin in December 2018, and further sessions will be held in</w:t>
      </w:r>
      <w:r w:rsidR="00326CA1">
        <w:rPr>
          <w:sz w:val="22"/>
          <w:szCs w:val="22"/>
        </w:rPr>
        <w:t xml:space="preserve"> February and March </w:t>
      </w:r>
      <w:r w:rsidR="00071740">
        <w:rPr>
          <w:sz w:val="22"/>
          <w:szCs w:val="22"/>
        </w:rPr>
        <w:t xml:space="preserve">2019. Information on these training </w:t>
      </w:r>
    </w:p>
    <w:p w14:paraId="0B09CF8E" w14:textId="77777777" w:rsidR="00071740" w:rsidRDefault="00071740" w:rsidP="004B3DEE">
      <w:pPr>
        <w:spacing w:before="0"/>
        <w:rPr>
          <w:sz w:val="22"/>
          <w:szCs w:val="22"/>
        </w:rPr>
      </w:pPr>
    </w:p>
    <w:p w14:paraId="126C3E8D" w14:textId="77777777" w:rsidR="00071740" w:rsidRDefault="00071740" w:rsidP="004B3DEE">
      <w:pPr>
        <w:spacing w:before="0"/>
        <w:rPr>
          <w:sz w:val="22"/>
          <w:szCs w:val="22"/>
        </w:rPr>
      </w:pPr>
    </w:p>
    <w:p w14:paraId="5DA85108" w14:textId="77777777" w:rsidR="00F64FD4" w:rsidRDefault="00F64FD4" w:rsidP="004B3DEE">
      <w:pPr>
        <w:spacing w:before="0"/>
        <w:rPr>
          <w:sz w:val="22"/>
          <w:szCs w:val="22"/>
        </w:rPr>
      </w:pPr>
    </w:p>
    <w:p w14:paraId="1D398762" w14:textId="77777777" w:rsidR="00F64FD4" w:rsidRDefault="00F64FD4" w:rsidP="004B3DEE">
      <w:pPr>
        <w:spacing w:before="0"/>
        <w:rPr>
          <w:sz w:val="22"/>
          <w:szCs w:val="22"/>
        </w:rPr>
      </w:pPr>
    </w:p>
    <w:p w14:paraId="430B8E85" w14:textId="77777777" w:rsidR="004B3DEE" w:rsidRPr="004B3DEE" w:rsidRDefault="00071740" w:rsidP="004B3DEE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sessions is available </w:t>
      </w:r>
      <w:hyperlink r:id="rId9" w:history="1">
        <w:r w:rsidRPr="002E36BD">
          <w:rPr>
            <w:rStyle w:val="Hyperlink"/>
            <w:sz w:val="22"/>
            <w:szCs w:val="22"/>
          </w:rPr>
          <w:t>here</w:t>
        </w:r>
      </w:hyperlink>
      <w:r w:rsidR="00827DC0" w:rsidRPr="00827DC0">
        <w:rPr>
          <w:color w:val="17365D" w:themeColor="text2" w:themeShade="BF"/>
          <w:sz w:val="22"/>
          <w:szCs w:val="22"/>
        </w:rPr>
        <w:t xml:space="preserve">. </w:t>
      </w:r>
      <w:r w:rsidR="004B3DEE" w:rsidRPr="004B3DEE">
        <w:rPr>
          <w:sz w:val="22"/>
          <w:szCs w:val="22"/>
        </w:rPr>
        <w:t xml:space="preserve">Once service providers have completed the DEX training they may begin using the DEX and cease reporting in </w:t>
      </w:r>
      <w:r w:rsidR="00B97DB3">
        <w:rPr>
          <w:sz w:val="22"/>
          <w:szCs w:val="22"/>
        </w:rPr>
        <w:t>traditional</w:t>
      </w:r>
      <w:r w:rsidR="004B3DEE" w:rsidRPr="004B3DEE">
        <w:rPr>
          <w:sz w:val="22"/>
          <w:szCs w:val="22"/>
        </w:rPr>
        <w:t xml:space="preserve"> data systems.</w:t>
      </w:r>
    </w:p>
    <w:p w14:paraId="2D676EF1" w14:textId="41D61E6B" w:rsidR="000A0869" w:rsidRDefault="00CF2312" w:rsidP="000A0869">
      <w:pPr>
        <w:spacing w:before="0"/>
        <w:rPr>
          <w:color w:val="000000" w:themeColor="text1"/>
          <w:sz w:val="22"/>
        </w:rPr>
      </w:pPr>
      <w:r w:rsidRPr="00343A87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 xml:space="preserve">n </w:t>
      </w:r>
      <w:hyperlink r:id="rId10" w:history="1">
        <w:r w:rsidRPr="002E36BD">
          <w:rPr>
            <w:rStyle w:val="Hyperlink"/>
            <w:sz w:val="22"/>
          </w:rPr>
          <w:t>Activity Mapping template</w:t>
        </w:r>
      </w:hyperlink>
      <w:r w:rsidRPr="00B36C36">
        <w:rPr>
          <w:color w:val="000000" w:themeColor="text1"/>
          <w:sz w:val="22"/>
        </w:rPr>
        <w:t xml:space="preserve"> </w:t>
      </w:r>
      <w:r w:rsidR="00855AA6" w:rsidRPr="00B36C36">
        <w:rPr>
          <w:color w:val="000000" w:themeColor="text1"/>
          <w:sz w:val="22"/>
        </w:rPr>
        <w:t xml:space="preserve">and </w:t>
      </w:r>
      <w:hyperlink r:id="rId11" w:history="1">
        <w:r w:rsidR="00855AA6" w:rsidRPr="002E36BD">
          <w:rPr>
            <w:rStyle w:val="Hyperlink"/>
            <w:sz w:val="22"/>
          </w:rPr>
          <w:t>User Guide</w:t>
        </w:r>
      </w:hyperlink>
      <w:r w:rsidR="00855AA6" w:rsidRPr="00855AA6">
        <w:rPr>
          <w:color w:val="0070C0"/>
          <w:sz w:val="22"/>
        </w:rPr>
        <w:t xml:space="preserve"> </w:t>
      </w:r>
      <w:r w:rsidRPr="00343A87">
        <w:rPr>
          <w:color w:val="000000" w:themeColor="text1"/>
          <w:sz w:val="22"/>
        </w:rPr>
        <w:t>ha</w:t>
      </w:r>
      <w:r w:rsidR="000A0869">
        <w:rPr>
          <w:color w:val="000000" w:themeColor="text1"/>
          <w:sz w:val="22"/>
        </w:rPr>
        <w:t xml:space="preserve">s </w:t>
      </w:r>
      <w:r w:rsidRPr="00343A87">
        <w:rPr>
          <w:color w:val="000000" w:themeColor="text1"/>
          <w:sz w:val="22"/>
        </w:rPr>
        <w:t xml:space="preserve">been developed </w:t>
      </w:r>
      <w:r>
        <w:rPr>
          <w:color w:val="000000" w:themeColor="text1"/>
          <w:sz w:val="22"/>
        </w:rPr>
        <w:t xml:space="preserve">to record changes to service delivery and map existing activities to the TEI </w:t>
      </w:r>
      <w:r w:rsidR="000A0869">
        <w:rPr>
          <w:color w:val="000000" w:themeColor="text1"/>
          <w:sz w:val="22"/>
        </w:rPr>
        <w:t xml:space="preserve">framework and enable DEX reporting. </w:t>
      </w:r>
    </w:p>
    <w:p w14:paraId="7417D93B" w14:textId="77777777" w:rsidR="007A72B6" w:rsidRPr="007A72B6" w:rsidRDefault="007A72B6" w:rsidP="007A72B6">
      <w:pPr>
        <w:spacing w:before="0"/>
        <w:rPr>
          <w:color w:val="000000" w:themeColor="text1"/>
          <w:sz w:val="22"/>
        </w:rPr>
      </w:pPr>
      <w:r w:rsidRPr="007A72B6">
        <w:rPr>
          <w:color w:val="000000" w:themeColor="text1"/>
          <w:sz w:val="22"/>
        </w:rPr>
        <w:t xml:space="preserve">Completing the Activity Mapping Template will not result in changes to existing contracts, however the mapping template can be used by </w:t>
      </w:r>
      <w:r>
        <w:rPr>
          <w:color w:val="000000" w:themeColor="text1"/>
          <w:sz w:val="22"/>
        </w:rPr>
        <w:t xml:space="preserve">FACS and </w:t>
      </w:r>
      <w:r w:rsidRPr="007A72B6">
        <w:rPr>
          <w:color w:val="000000" w:themeColor="text1"/>
          <w:sz w:val="22"/>
        </w:rPr>
        <w:t>service providers at the end of the</w:t>
      </w:r>
      <w:r w:rsidR="00AA070D">
        <w:rPr>
          <w:color w:val="000000" w:themeColor="text1"/>
          <w:sz w:val="22"/>
        </w:rPr>
        <w:t xml:space="preserve"> r</w:t>
      </w:r>
      <w:r w:rsidRPr="007A72B6">
        <w:rPr>
          <w:color w:val="000000" w:themeColor="text1"/>
          <w:sz w:val="22"/>
        </w:rPr>
        <w:t>eporting</w:t>
      </w:r>
      <w:r>
        <w:rPr>
          <w:color w:val="000000" w:themeColor="text1"/>
          <w:sz w:val="22"/>
        </w:rPr>
        <w:t xml:space="preserve"> </w:t>
      </w:r>
      <w:r w:rsidRPr="007A72B6">
        <w:rPr>
          <w:color w:val="000000" w:themeColor="text1"/>
          <w:sz w:val="22"/>
        </w:rPr>
        <w:t>period as a</w:t>
      </w:r>
      <w:r>
        <w:rPr>
          <w:color w:val="000000" w:themeColor="text1"/>
          <w:sz w:val="22"/>
        </w:rPr>
        <w:t xml:space="preserve">n acknowledgement and </w:t>
      </w:r>
      <w:r w:rsidRPr="007A72B6">
        <w:rPr>
          <w:color w:val="000000" w:themeColor="text1"/>
          <w:sz w:val="22"/>
        </w:rPr>
        <w:t>record of</w:t>
      </w:r>
      <w:r>
        <w:rPr>
          <w:color w:val="000000" w:themeColor="text1"/>
          <w:sz w:val="22"/>
        </w:rPr>
        <w:t xml:space="preserve"> </w:t>
      </w:r>
      <w:r w:rsidRPr="007A72B6">
        <w:rPr>
          <w:color w:val="000000" w:themeColor="text1"/>
          <w:sz w:val="22"/>
        </w:rPr>
        <w:t xml:space="preserve">any </w:t>
      </w:r>
      <w:r w:rsidR="00B97DB3">
        <w:rPr>
          <w:color w:val="000000" w:themeColor="text1"/>
          <w:sz w:val="22"/>
        </w:rPr>
        <w:t xml:space="preserve">service improvements, in line with the outcomes framework. </w:t>
      </w:r>
    </w:p>
    <w:p w14:paraId="51F5A9CA" w14:textId="77777777" w:rsidR="007A72B6" w:rsidRDefault="007A72B6" w:rsidP="007A72B6">
      <w:pPr>
        <w:spacing w:before="0"/>
        <w:rPr>
          <w:color w:val="000000" w:themeColor="text1"/>
          <w:sz w:val="22"/>
        </w:rPr>
      </w:pPr>
      <w:r w:rsidRPr="007A72B6">
        <w:rPr>
          <w:color w:val="000000" w:themeColor="text1"/>
          <w:sz w:val="22"/>
        </w:rPr>
        <w:t xml:space="preserve">Service providers wishing to </w:t>
      </w:r>
      <w:r w:rsidR="00B97DB3">
        <w:rPr>
          <w:color w:val="000000" w:themeColor="text1"/>
          <w:sz w:val="22"/>
        </w:rPr>
        <w:t xml:space="preserve">discuss their </w:t>
      </w:r>
      <w:r w:rsidRPr="007A72B6">
        <w:rPr>
          <w:color w:val="000000" w:themeColor="text1"/>
          <w:sz w:val="22"/>
        </w:rPr>
        <w:t>existing Service Delivery Schedules are able to request this, as per normal contract management processes, but this is not required as part of TEI next steps.</w:t>
      </w:r>
    </w:p>
    <w:p w14:paraId="587F7FE0" w14:textId="77777777" w:rsidR="00AA070D" w:rsidRPr="00AA070D" w:rsidRDefault="00AA070D" w:rsidP="007D4CD2">
      <w:pPr>
        <w:spacing w:before="0"/>
        <w:rPr>
          <w:b/>
          <w:i/>
          <w:color w:val="FFC000"/>
        </w:rPr>
      </w:pPr>
      <w:r w:rsidRPr="00AA070D">
        <w:rPr>
          <w:b/>
          <w:i/>
          <w:color w:val="FFC000"/>
        </w:rPr>
        <w:t xml:space="preserve">Pathway </w:t>
      </w:r>
      <w:r>
        <w:rPr>
          <w:b/>
          <w:i/>
          <w:color w:val="FFC000"/>
        </w:rPr>
        <w:t>2</w:t>
      </w:r>
    </w:p>
    <w:p w14:paraId="2E5997E2" w14:textId="77777777" w:rsidR="007D4CD2" w:rsidRDefault="00AA070D" w:rsidP="007D4CD2">
      <w:pPr>
        <w:spacing w:before="0"/>
        <w:rPr>
          <w:sz w:val="22"/>
          <w:szCs w:val="22"/>
        </w:rPr>
      </w:pPr>
      <w:r>
        <w:rPr>
          <w:sz w:val="22"/>
          <w:szCs w:val="22"/>
        </w:rPr>
        <w:t>For s</w:t>
      </w:r>
      <w:r w:rsidR="007D4CD2">
        <w:rPr>
          <w:sz w:val="22"/>
          <w:szCs w:val="22"/>
        </w:rPr>
        <w:t xml:space="preserve">ervice providers choosing Pathway </w:t>
      </w:r>
      <w:r w:rsidR="00CF2312">
        <w:rPr>
          <w:sz w:val="22"/>
          <w:szCs w:val="22"/>
        </w:rPr>
        <w:t>2</w:t>
      </w:r>
      <w:r w:rsidR="007D4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will mean business as usual, </w:t>
      </w:r>
      <w:r w:rsidR="007D4CD2">
        <w:rPr>
          <w:sz w:val="22"/>
          <w:szCs w:val="22"/>
        </w:rPr>
        <w:t>continu</w:t>
      </w:r>
      <w:r>
        <w:rPr>
          <w:sz w:val="22"/>
          <w:szCs w:val="22"/>
        </w:rPr>
        <w:t xml:space="preserve">ation of </w:t>
      </w:r>
      <w:r w:rsidR="007D4CD2">
        <w:rPr>
          <w:sz w:val="22"/>
          <w:szCs w:val="22"/>
        </w:rPr>
        <w:t xml:space="preserve">current </w:t>
      </w:r>
      <w:r w:rsidR="004871D3">
        <w:rPr>
          <w:sz w:val="22"/>
          <w:szCs w:val="22"/>
        </w:rPr>
        <w:t xml:space="preserve">service delivery and </w:t>
      </w:r>
      <w:r w:rsidR="007D4CD2">
        <w:rPr>
          <w:sz w:val="22"/>
          <w:szCs w:val="22"/>
        </w:rPr>
        <w:t>reporting arrangements.</w:t>
      </w:r>
    </w:p>
    <w:p w14:paraId="3E2474F8" w14:textId="77777777" w:rsidR="00ED0699" w:rsidRDefault="00AA070D" w:rsidP="00AA070D">
      <w:pPr>
        <w:rPr>
          <w:sz w:val="28"/>
          <w:szCs w:val="22"/>
        </w:rPr>
      </w:pPr>
      <w:r>
        <w:rPr>
          <w:sz w:val="22"/>
        </w:rPr>
        <w:t>W</w:t>
      </w:r>
      <w:r w:rsidRPr="00AA070D">
        <w:rPr>
          <w:sz w:val="22"/>
        </w:rPr>
        <w:t>here a service provider initially chooses no alignment with the TEI Outcomes Framework</w:t>
      </w:r>
      <w:r>
        <w:rPr>
          <w:sz w:val="22"/>
        </w:rPr>
        <w:t xml:space="preserve"> (pathway 2)</w:t>
      </w:r>
      <w:r w:rsidRPr="00AA070D">
        <w:rPr>
          <w:sz w:val="22"/>
        </w:rPr>
        <w:t xml:space="preserve">, they </w:t>
      </w:r>
      <w:r>
        <w:rPr>
          <w:sz w:val="22"/>
        </w:rPr>
        <w:t xml:space="preserve">can </w:t>
      </w:r>
      <w:r w:rsidR="00812FCB">
        <w:rPr>
          <w:sz w:val="22"/>
        </w:rPr>
        <w:t xml:space="preserve">also </w:t>
      </w:r>
      <w:r>
        <w:rPr>
          <w:sz w:val="22"/>
        </w:rPr>
        <w:t xml:space="preserve">at any time re-consider and </w:t>
      </w:r>
      <w:r w:rsidRPr="00AA070D">
        <w:rPr>
          <w:sz w:val="22"/>
        </w:rPr>
        <w:t xml:space="preserve">decide to align </w:t>
      </w:r>
      <w:r>
        <w:rPr>
          <w:sz w:val="22"/>
        </w:rPr>
        <w:t xml:space="preserve">(pathway 1) </w:t>
      </w:r>
      <w:r w:rsidRPr="00AA070D">
        <w:rPr>
          <w:sz w:val="22"/>
        </w:rPr>
        <w:t xml:space="preserve">at </w:t>
      </w:r>
      <w:r>
        <w:rPr>
          <w:sz w:val="22"/>
        </w:rPr>
        <w:t>any t</w:t>
      </w:r>
      <w:r w:rsidRPr="00AA070D">
        <w:rPr>
          <w:sz w:val="22"/>
        </w:rPr>
        <w:t>ime before contracts are recommissioned in 2020.</w:t>
      </w:r>
      <w:r>
        <w:rPr>
          <w:sz w:val="22"/>
        </w:rPr>
        <w:t xml:space="preserve">  </w:t>
      </w:r>
    </w:p>
    <w:p w14:paraId="17A82CF5" w14:textId="77777777" w:rsidR="007D4CD2" w:rsidRPr="00C21999" w:rsidRDefault="007D4CD2" w:rsidP="007D4CD2">
      <w:pPr>
        <w:pStyle w:val="Heading2"/>
        <w:spacing w:before="0" w:after="120"/>
        <w:rPr>
          <w:sz w:val="28"/>
          <w:szCs w:val="22"/>
        </w:rPr>
      </w:pPr>
      <w:r w:rsidRPr="00C21999">
        <w:rPr>
          <w:sz w:val="28"/>
          <w:szCs w:val="22"/>
        </w:rPr>
        <w:t>Sector Assistance Strategy</w:t>
      </w:r>
      <w:r w:rsidR="001D4DDA">
        <w:rPr>
          <w:sz w:val="28"/>
          <w:szCs w:val="22"/>
        </w:rPr>
        <w:t xml:space="preserve"> update</w:t>
      </w:r>
    </w:p>
    <w:p w14:paraId="29D164D5" w14:textId="77777777" w:rsidR="00ED0699" w:rsidRDefault="007D4CD2" w:rsidP="00ED0699">
      <w:pPr>
        <w:spacing w:before="0"/>
        <w:rPr>
          <w:sz w:val="22"/>
          <w:szCs w:val="22"/>
        </w:rPr>
      </w:pPr>
      <w:r w:rsidRPr="00B827CE">
        <w:rPr>
          <w:sz w:val="22"/>
          <w:szCs w:val="22"/>
        </w:rPr>
        <w:t>The TEI S</w:t>
      </w:r>
      <w:r>
        <w:rPr>
          <w:sz w:val="22"/>
          <w:szCs w:val="22"/>
        </w:rPr>
        <w:t xml:space="preserve">ector </w:t>
      </w:r>
      <w:r w:rsidRPr="00B827CE">
        <w:rPr>
          <w:sz w:val="22"/>
          <w:szCs w:val="22"/>
        </w:rPr>
        <w:t>A</w:t>
      </w:r>
      <w:r>
        <w:rPr>
          <w:sz w:val="22"/>
          <w:szCs w:val="22"/>
        </w:rPr>
        <w:t xml:space="preserve">ssistance </w:t>
      </w:r>
      <w:r w:rsidRPr="00B827CE">
        <w:rPr>
          <w:sz w:val="22"/>
          <w:szCs w:val="22"/>
        </w:rPr>
        <w:t>S</w:t>
      </w:r>
      <w:r>
        <w:rPr>
          <w:sz w:val="22"/>
          <w:szCs w:val="22"/>
        </w:rPr>
        <w:t>trategy</w:t>
      </w:r>
      <w:r w:rsidRPr="00B827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(SAS) </w:t>
      </w:r>
      <w:r w:rsidRPr="00B827CE">
        <w:rPr>
          <w:sz w:val="22"/>
          <w:szCs w:val="22"/>
        </w:rPr>
        <w:t>will continue to be implemented for all TEI services</w:t>
      </w:r>
      <w:r>
        <w:rPr>
          <w:sz w:val="22"/>
          <w:szCs w:val="22"/>
        </w:rPr>
        <w:t xml:space="preserve">. </w:t>
      </w:r>
    </w:p>
    <w:p w14:paraId="61161133" w14:textId="77777777" w:rsidR="00ED0699" w:rsidRDefault="00ED0699" w:rsidP="00ED0699">
      <w:pPr>
        <w:spacing w:before="0"/>
        <w:rPr>
          <w:sz w:val="22"/>
          <w:szCs w:val="22"/>
        </w:rPr>
      </w:pPr>
      <w:r w:rsidRPr="00B827CE">
        <w:rPr>
          <w:sz w:val="22"/>
          <w:szCs w:val="22"/>
        </w:rPr>
        <w:t xml:space="preserve">ACWA will continue to </w:t>
      </w:r>
      <w:r>
        <w:rPr>
          <w:sz w:val="22"/>
          <w:szCs w:val="22"/>
        </w:rPr>
        <w:t xml:space="preserve">facilitate </w:t>
      </w:r>
      <w:r w:rsidRPr="00B827CE">
        <w:rPr>
          <w:sz w:val="22"/>
          <w:szCs w:val="22"/>
        </w:rPr>
        <w:t xml:space="preserve">sector-wide training to </w:t>
      </w:r>
      <w:r>
        <w:rPr>
          <w:sz w:val="22"/>
          <w:szCs w:val="22"/>
        </w:rPr>
        <w:t xml:space="preserve">all </w:t>
      </w:r>
      <w:r w:rsidRPr="00B827CE">
        <w:rPr>
          <w:sz w:val="22"/>
          <w:szCs w:val="22"/>
        </w:rPr>
        <w:t xml:space="preserve">TEI </w:t>
      </w:r>
      <w:r>
        <w:rPr>
          <w:sz w:val="22"/>
          <w:szCs w:val="22"/>
        </w:rPr>
        <w:t>service p</w:t>
      </w:r>
      <w:r w:rsidRPr="00B827CE">
        <w:rPr>
          <w:sz w:val="22"/>
          <w:szCs w:val="22"/>
        </w:rPr>
        <w:t>roviders</w:t>
      </w:r>
      <w:r>
        <w:rPr>
          <w:sz w:val="22"/>
          <w:szCs w:val="22"/>
        </w:rPr>
        <w:t xml:space="preserve"> through 2019. The training schedule for 2019 will be influenced by demand data ACWA acquires from the waiting list information on their website. </w:t>
      </w:r>
    </w:p>
    <w:p w14:paraId="269EB8DB" w14:textId="77777777" w:rsidR="007D4CD2" w:rsidRPr="00B827CE" w:rsidRDefault="007D4CD2" w:rsidP="007D4CD2">
      <w:pPr>
        <w:spacing w:before="0"/>
        <w:rPr>
          <w:sz w:val="22"/>
          <w:szCs w:val="22"/>
        </w:rPr>
      </w:pPr>
      <w:r>
        <w:rPr>
          <w:sz w:val="22"/>
          <w:szCs w:val="22"/>
        </w:rPr>
        <w:t>P</w:t>
      </w:r>
      <w:r w:rsidRPr="00846878">
        <w:rPr>
          <w:sz w:val="22"/>
          <w:szCs w:val="22"/>
        </w:rPr>
        <w:t>riority</w:t>
      </w:r>
      <w:r w:rsidRPr="004952E5">
        <w:rPr>
          <w:b/>
          <w:sz w:val="22"/>
          <w:szCs w:val="22"/>
        </w:rPr>
        <w:t xml:space="preserve"> </w:t>
      </w:r>
      <w:r w:rsidRPr="002D74CA">
        <w:rPr>
          <w:sz w:val="22"/>
          <w:szCs w:val="22"/>
        </w:rPr>
        <w:t>access</w:t>
      </w:r>
      <w:r w:rsidRPr="00B827CE">
        <w:rPr>
          <w:sz w:val="22"/>
          <w:szCs w:val="22"/>
        </w:rPr>
        <w:t xml:space="preserve"> to </w:t>
      </w:r>
      <w:r w:rsidR="00ED0699" w:rsidRPr="00846878">
        <w:rPr>
          <w:sz w:val="22"/>
          <w:szCs w:val="22"/>
        </w:rPr>
        <w:t>specific</w:t>
      </w:r>
      <w:r w:rsidR="00ED0699">
        <w:rPr>
          <w:sz w:val="22"/>
          <w:szCs w:val="22"/>
        </w:rPr>
        <w:t xml:space="preserve"> support</w:t>
      </w:r>
      <w:r w:rsidR="00ED0699" w:rsidRPr="00B827CE">
        <w:rPr>
          <w:sz w:val="22"/>
          <w:szCs w:val="22"/>
        </w:rPr>
        <w:t xml:space="preserve"> </w:t>
      </w:r>
      <w:r w:rsidRPr="00B827CE">
        <w:rPr>
          <w:sz w:val="22"/>
          <w:szCs w:val="22"/>
        </w:rPr>
        <w:t xml:space="preserve">training </w:t>
      </w:r>
      <w:r w:rsidR="00ED0699">
        <w:rPr>
          <w:sz w:val="22"/>
          <w:szCs w:val="22"/>
        </w:rPr>
        <w:t>will b</w:t>
      </w:r>
      <w:r>
        <w:rPr>
          <w:sz w:val="22"/>
          <w:szCs w:val="22"/>
        </w:rPr>
        <w:t xml:space="preserve">e </w:t>
      </w:r>
      <w:r w:rsidRPr="00B827CE">
        <w:rPr>
          <w:sz w:val="22"/>
          <w:szCs w:val="22"/>
        </w:rPr>
        <w:t xml:space="preserve">given to service providers choosing </w:t>
      </w:r>
      <w:r>
        <w:rPr>
          <w:sz w:val="22"/>
          <w:szCs w:val="22"/>
        </w:rPr>
        <w:t>pathways 1</w:t>
      </w:r>
      <w:r w:rsidR="00ED0699">
        <w:rPr>
          <w:sz w:val="22"/>
          <w:szCs w:val="22"/>
        </w:rPr>
        <w:t xml:space="preserve">, where required. </w:t>
      </w:r>
    </w:p>
    <w:p w14:paraId="32266F8B" w14:textId="77777777" w:rsidR="007D4CD2" w:rsidRPr="00B827CE" w:rsidRDefault="007D4CD2" w:rsidP="007D4CD2">
      <w:pPr>
        <w:spacing w:before="0"/>
        <w:rPr>
          <w:sz w:val="22"/>
          <w:szCs w:val="22"/>
        </w:rPr>
      </w:pPr>
      <w:r w:rsidRPr="00B827CE">
        <w:rPr>
          <w:sz w:val="22"/>
          <w:szCs w:val="22"/>
        </w:rPr>
        <w:t xml:space="preserve">NCOSS will continue to deliver the SAS panel with an increased focus on program logics. </w:t>
      </w:r>
    </w:p>
    <w:p w14:paraId="0791F400" w14:textId="77777777" w:rsidR="007D4CD2" w:rsidRPr="006317A7" w:rsidRDefault="007D4CD2" w:rsidP="007D4CD2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Stage 2 of the Strategy will involve </w:t>
      </w:r>
      <w:r w:rsidRPr="00B827CE">
        <w:rPr>
          <w:sz w:val="22"/>
          <w:szCs w:val="22"/>
        </w:rPr>
        <w:t>support</w:t>
      </w:r>
      <w:r>
        <w:rPr>
          <w:sz w:val="22"/>
          <w:szCs w:val="22"/>
        </w:rPr>
        <w:t>ing</w:t>
      </w:r>
      <w:r w:rsidRPr="00B827CE">
        <w:rPr>
          <w:sz w:val="22"/>
          <w:szCs w:val="22"/>
        </w:rPr>
        <w:t xml:space="preserve"> TEI Aboriginal capacity </w:t>
      </w:r>
      <w:r>
        <w:rPr>
          <w:sz w:val="22"/>
          <w:szCs w:val="22"/>
        </w:rPr>
        <w:t>b</w:t>
      </w:r>
      <w:r w:rsidRPr="00B827CE">
        <w:rPr>
          <w:sz w:val="22"/>
          <w:szCs w:val="22"/>
        </w:rPr>
        <w:t>uilding</w:t>
      </w:r>
      <w:r w:rsidR="00ED0699">
        <w:rPr>
          <w:sz w:val="22"/>
          <w:szCs w:val="22"/>
        </w:rPr>
        <w:t xml:space="preserve">, </w:t>
      </w:r>
      <w:r>
        <w:rPr>
          <w:sz w:val="22"/>
          <w:szCs w:val="22"/>
        </w:rPr>
        <w:t>DEX training and support</w:t>
      </w:r>
      <w:r w:rsidR="00ED06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other training as needed. </w:t>
      </w:r>
    </w:p>
    <w:p w14:paraId="054A68F0" w14:textId="77777777" w:rsidR="007D4CD2" w:rsidRPr="00C21999" w:rsidRDefault="007D4CD2" w:rsidP="007D4CD2">
      <w:pPr>
        <w:pStyle w:val="Heading2"/>
        <w:spacing w:after="120"/>
        <w:rPr>
          <w:sz w:val="28"/>
          <w:szCs w:val="22"/>
        </w:rPr>
      </w:pPr>
      <w:r w:rsidRPr="00C21999">
        <w:rPr>
          <w:sz w:val="28"/>
          <w:szCs w:val="22"/>
        </w:rPr>
        <w:t>Evidence and Evaluation Fund</w:t>
      </w:r>
    </w:p>
    <w:p w14:paraId="12A876DD" w14:textId="77777777" w:rsidR="007D4CD2" w:rsidRDefault="007D4CD2" w:rsidP="007D4CD2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827CE">
        <w:rPr>
          <w:sz w:val="22"/>
          <w:szCs w:val="22"/>
        </w:rPr>
        <w:t>TEI Evidence and Evaluation Fund</w:t>
      </w:r>
      <w:r>
        <w:rPr>
          <w:sz w:val="22"/>
          <w:szCs w:val="22"/>
        </w:rPr>
        <w:t xml:space="preserve"> is being established </w:t>
      </w:r>
      <w:r w:rsidRPr="00B827CE">
        <w:rPr>
          <w:sz w:val="22"/>
          <w:szCs w:val="22"/>
        </w:rPr>
        <w:t xml:space="preserve">to </w:t>
      </w:r>
      <w:r>
        <w:rPr>
          <w:sz w:val="22"/>
          <w:szCs w:val="22"/>
        </w:rPr>
        <w:t>help</w:t>
      </w:r>
      <w:r w:rsidRPr="00B827CE">
        <w:rPr>
          <w:sz w:val="22"/>
          <w:szCs w:val="22"/>
        </w:rPr>
        <w:t xml:space="preserve"> build the evidence base for earlier intervention with state-wide priority groups and targeted service types. The </w:t>
      </w:r>
      <w:r w:rsidR="00ED0699">
        <w:rPr>
          <w:sz w:val="22"/>
          <w:szCs w:val="22"/>
        </w:rPr>
        <w:t>F</w:t>
      </w:r>
      <w:r w:rsidRPr="00B827CE">
        <w:rPr>
          <w:sz w:val="22"/>
          <w:szCs w:val="22"/>
        </w:rPr>
        <w:t xml:space="preserve">und will be rolled out in </w:t>
      </w:r>
      <w:r w:rsidR="00270A98">
        <w:rPr>
          <w:sz w:val="22"/>
          <w:szCs w:val="22"/>
        </w:rPr>
        <w:t>2019</w:t>
      </w:r>
      <w:r w:rsidR="00ED0699">
        <w:rPr>
          <w:sz w:val="22"/>
          <w:szCs w:val="22"/>
        </w:rPr>
        <w:t xml:space="preserve"> and </w:t>
      </w:r>
      <w:r w:rsidRPr="00B827CE">
        <w:rPr>
          <w:sz w:val="22"/>
          <w:szCs w:val="22"/>
        </w:rPr>
        <w:t xml:space="preserve">provide the opportunity for successful applicants to properly evaluate and demonstrate their effectiveness, and support and promote evidence of the human and economic value of early intervention services. </w:t>
      </w:r>
    </w:p>
    <w:p w14:paraId="63E4AE2F" w14:textId="77777777" w:rsidR="00326CA1" w:rsidRDefault="00326CA1" w:rsidP="007D4CD2">
      <w:pPr>
        <w:spacing w:before="0"/>
        <w:rPr>
          <w:sz w:val="22"/>
          <w:szCs w:val="22"/>
        </w:rPr>
      </w:pPr>
    </w:p>
    <w:p w14:paraId="56FB403A" w14:textId="77777777" w:rsidR="00326CA1" w:rsidRDefault="00326CA1" w:rsidP="00326CA1">
      <w:pPr>
        <w:pStyle w:val="Heading2"/>
        <w:spacing w:after="120"/>
        <w:rPr>
          <w:sz w:val="28"/>
          <w:szCs w:val="22"/>
        </w:rPr>
      </w:pPr>
    </w:p>
    <w:p w14:paraId="7FDBD446" w14:textId="77777777" w:rsidR="00326CA1" w:rsidRDefault="00326CA1" w:rsidP="00326CA1">
      <w:pPr>
        <w:pStyle w:val="Heading2"/>
        <w:spacing w:after="120"/>
        <w:rPr>
          <w:sz w:val="28"/>
          <w:szCs w:val="22"/>
        </w:rPr>
      </w:pPr>
      <w:r>
        <w:rPr>
          <w:sz w:val="28"/>
          <w:szCs w:val="22"/>
        </w:rPr>
        <w:t>What Works</w:t>
      </w:r>
    </w:p>
    <w:p w14:paraId="2F6B6E27" w14:textId="77777777" w:rsidR="00F86B5B" w:rsidRDefault="00C708FF" w:rsidP="00C708FF">
      <w:pPr>
        <w:rPr>
          <w:sz w:val="22"/>
          <w:szCs w:val="22"/>
        </w:rPr>
      </w:pPr>
      <w:r w:rsidRPr="00C708FF">
        <w:rPr>
          <w:sz w:val="22"/>
          <w:szCs w:val="22"/>
        </w:rPr>
        <w:t>The literature on prevention and early intervention is clear</w:t>
      </w:r>
      <w:r>
        <w:rPr>
          <w:sz w:val="22"/>
          <w:szCs w:val="22"/>
        </w:rPr>
        <w:t xml:space="preserve"> - </w:t>
      </w:r>
      <w:r w:rsidRPr="00C708FF">
        <w:rPr>
          <w:sz w:val="22"/>
          <w:szCs w:val="22"/>
        </w:rPr>
        <w:t>getting it right</w:t>
      </w:r>
      <w:r>
        <w:rPr>
          <w:sz w:val="22"/>
          <w:szCs w:val="22"/>
        </w:rPr>
        <w:t xml:space="preserve">, </w:t>
      </w:r>
      <w:r w:rsidRPr="00C708FF">
        <w:rPr>
          <w:sz w:val="22"/>
          <w:szCs w:val="22"/>
        </w:rPr>
        <w:t>both early in life and at critical points improves outcomes for vulnerable children, young people and families.</w:t>
      </w:r>
      <w:r>
        <w:rPr>
          <w:sz w:val="22"/>
          <w:szCs w:val="22"/>
        </w:rPr>
        <w:t xml:space="preserve"> </w:t>
      </w:r>
    </w:p>
    <w:p w14:paraId="476D9739" w14:textId="77777777" w:rsidR="00C708FF" w:rsidRDefault="00C708FF" w:rsidP="00C708FF">
      <w:pPr>
        <w:rPr>
          <w:sz w:val="22"/>
          <w:szCs w:val="22"/>
        </w:rPr>
      </w:pPr>
      <w:r>
        <w:rPr>
          <w:sz w:val="22"/>
          <w:szCs w:val="22"/>
        </w:rPr>
        <w:t xml:space="preserve">We know that effective </w:t>
      </w:r>
      <w:r w:rsidRPr="00C708FF">
        <w:rPr>
          <w:sz w:val="22"/>
          <w:szCs w:val="22"/>
        </w:rPr>
        <w:t>earl</w:t>
      </w:r>
      <w:r>
        <w:rPr>
          <w:sz w:val="22"/>
          <w:szCs w:val="22"/>
        </w:rPr>
        <w:t xml:space="preserve">y </w:t>
      </w:r>
      <w:r w:rsidRPr="00C708FF">
        <w:rPr>
          <w:sz w:val="22"/>
          <w:szCs w:val="22"/>
        </w:rPr>
        <w:t>invention</w:t>
      </w:r>
      <w:r>
        <w:rPr>
          <w:sz w:val="22"/>
          <w:szCs w:val="22"/>
        </w:rPr>
        <w:t xml:space="preserve"> </w:t>
      </w:r>
      <w:r w:rsidRPr="00C708FF">
        <w:rPr>
          <w:sz w:val="22"/>
          <w:szCs w:val="22"/>
        </w:rPr>
        <w:t>can greatly reduce the likelihood of a child or young person facing challenges such as</w:t>
      </w:r>
      <w:r>
        <w:rPr>
          <w:sz w:val="22"/>
          <w:szCs w:val="22"/>
        </w:rPr>
        <w:t>:</w:t>
      </w:r>
      <w:r w:rsidRPr="00C708FF">
        <w:rPr>
          <w:sz w:val="22"/>
          <w:szCs w:val="22"/>
        </w:rPr>
        <w:t xml:space="preserve"> low participation</w:t>
      </w:r>
      <w:r>
        <w:rPr>
          <w:sz w:val="22"/>
          <w:szCs w:val="22"/>
        </w:rPr>
        <w:t xml:space="preserve"> </w:t>
      </w:r>
      <w:r w:rsidRPr="00C708FF">
        <w:rPr>
          <w:sz w:val="22"/>
          <w:szCs w:val="22"/>
        </w:rPr>
        <w:t>and attainment in education</w:t>
      </w:r>
      <w:r>
        <w:rPr>
          <w:sz w:val="22"/>
          <w:szCs w:val="22"/>
        </w:rPr>
        <w:t xml:space="preserve">; </w:t>
      </w:r>
      <w:r w:rsidRPr="00C708FF">
        <w:rPr>
          <w:sz w:val="22"/>
          <w:szCs w:val="22"/>
        </w:rPr>
        <w:t>poor physical and mental health</w:t>
      </w:r>
      <w:r>
        <w:rPr>
          <w:sz w:val="22"/>
          <w:szCs w:val="22"/>
        </w:rPr>
        <w:t xml:space="preserve">; </w:t>
      </w:r>
      <w:r w:rsidRPr="00C708FF">
        <w:rPr>
          <w:sz w:val="22"/>
          <w:szCs w:val="22"/>
        </w:rPr>
        <w:t>welfare dependency</w:t>
      </w:r>
      <w:r>
        <w:rPr>
          <w:sz w:val="22"/>
          <w:szCs w:val="22"/>
        </w:rPr>
        <w:t xml:space="preserve">; </w:t>
      </w:r>
      <w:r w:rsidRPr="00C708FF">
        <w:rPr>
          <w:sz w:val="22"/>
          <w:szCs w:val="22"/>
        </w:rPr>
        <w:t>substance misuse</w:t>
      </w:r>
      <w:r>
        <w:rPr>
          <w:sz w:val="22"/>
          <w:szCs w:val="22"/>
        </w:rPr>
        <w:t>; a</w:t>
      </w:r>
      <w:r w:rsidRPr="00C708FF">
        <w:rPr>
          <w:sz w:val="22"/>
          <w:szCs w:val="22"/>
        </w:rPr>
        <w:t xml:space="preserve">nd involvement with the criminal justice system. </w:t>
      </w:r>
    </w:p>
    <w:p w14:paraId="524F435E" w14:textId="77777777" w:rsidR="00C708FF" w:rsidRDefault="00F86B5B" w:rsidP="00326CA1">
      <w:pPr>
        <w:rPr>
          <w:sz w:val="22"/>
          <w:szCs w:val="22"/>
        </w:rPr>
      </w:pPr>
      <w:r>
        <w:rPr>
          <w:sz w:val="22"/>
          <w:szCs w:val="22"/>
        </w:rPr>
        <w:t xml:space="preserve">To further support the move to evidence informed practice across early intervention, a </w:t>
      </w:r>
      <w:r w:rsidR="00326CA1" w:rsidRPr="00C708FF">
        <w:rPr>
          <w:sz w:val="22"/>
          <w:szCs w:val="22"/>
        </w:rPr>
        <w:t xml:space="preserve">showcase of </w:t>
      </w:r>
      <w:r w:rsidR="00326CA1" w:rsidRPr="00C708FF">
        <w:rPr>
          <w:i/>
          <w:sz w:val="22"/>
          <w:szCs w:val="22"/>
        </w:rPr>
        <w:t>What Works</w:t>
      </w:r>
      <w:r w:rsidR="00326CA1" w:rsidRPr="00C708FF">
        <w:rPr>
          <w:sz w:val="22"/>
          <w:szCs w:val="22"/>
        </w:rPr>
        <w:t xml:space="preserve"> </w:t>
      </w:r>
      <w:r w:rsidR="00C708FF">
        <w:rPr>
          <w:sz w:val="22"/>
          <w:szCs w:val="22"/>
        </w:rPr>
        <w:t xml:space="preserve">in </w:t>
      </w:r>
      <w:r w:rsidR="00326CA1" w:rsidRPr="00C708FF">
        <w:rPr>
          <w:sz w:val="22"/>
          <w:szCs w:val="22"/>
        </w:rPr>
        <w:t>prevention and early intervention</w:t>
      </w:r>
      <w:r w:rsidR="00C708FF">
        <w:rPr>
          <w:sz w:val="22"/>
          <w:szCs w:val="22"/>
        </w:rPr>
        <w:t xml:space="preserve"> will be developed in 2019</w:t>
      </w:r>
      <w:r>
        <w:rPr>
          <w:sz w:val="22"/>
          <w:szCs w:val="22"/>
        </w:rPr>
        <w:t xml:space="preserve">. FACS, Their Futures Matter and NSW Treasury will partner on this initiative, and focus on </w:t>
      </w:r>
      <w:r w:rsidR="00326CA1" w:rsidRPr="00C708FF">
        <w:rPr>
          <w:sz w:val="22"/>
          <w:szCs w:val="22"/>
        </w:rPr>
        <w:t>the best of local and international evidence for social and economic outcomes</w:t>
      </w:r>
      <w:r>
        <w:rPr>
          <w:sz w:val="22"/>
          <w:szCs w:val="22"/>
        </w:rPr>
        <w:t xml:space="preserve">, in </w:t>
      </w:r>
      <w:r w:rsidRPr="00C708FF">
        <w:rPr>
          <w:sz w:val="22"/>
          <w:szCs w:val="22"/>
        </w:rPr>
        <w:t>translation</w:t>
      </w:r>
      <w:r>
        <w:rPr>
          <w:sz w:val="22"/>
          <w:szCs w:val="22"/>
        </w:rPr>
        <w:t xml:space="preserve"> </w:t>
      </w:r>
      <w:r w:rsidRPr="00C708FF">
        <w:rPr>
          <w:sz w:val="22"/>
          <w:szCs w:val="22"/>
        </w:rPr>
        <w:t>to the NSW context.</w:t>
      </w:r>
      <w:r>
        <w:rPr>
          <w:sz w:val="22"/>
          <w:szCs w:val="22"/>
        </w:rPr>
        <w:t xml:space="preserve"> </w:t>
      </w:r>
    </w:p>
    <w:p w14:paraId="45D848F0" w14:textId="77777777" w:rsidR="00F0276A" w:rsidRPr="00C708FF" w:rsidRDefault="00326CA1" w:rsidP="00F86B5B">
      <w:pPr>
        <w:rPr>
          <w:sz w:val="22"/>
          <w:szCs w:val="22"/>
        </w:rPr>
      </w:pPr>
      <w:r w:rsidRPr="00C708FF">
        <w:rPr>
          <w:sz w:val="22"/>
          <w:szCs w:val="22"/>
        </w:rPr>
        <w:t xml:space="preserve">This evidence base will </w:t>
      </w:r>
      <w:r w:rsidR="00F86B5B">
        <w:rPr>
          <w:sz w:val="22"/>
          <w:szCs w:val="22"/>
        </w:rPr>
        <w:t xml:space="preserve">also </w:t>
      </w:r>
      <w:r w:rsidRPr="00C708FF">
        <w:rPr>
          <w:sz w:val="22"/>
          <w:szCs w:val="22"/>
        </w:rPr>
        <w:t>inform re-commissioning in 2020.</w:t>
      </w:r>
    </w:p>
    <w:p w14:paraId="1572E639" w14:textId="77777777" w:rsidR="007D4CD2" w:rsidRPr="00C21999" w:rsidRDefault="0064023A" w:rsidP="007D4CD2">
      <w:pPr>
        <w:pStyle w:val="Heading2"/>
        <w:spacing w:after="120"/>
        <w:rPr>
          <w:sz w:val="28"/>
          <w:szCs w:val="22"/>
        </w:rPr>
      </w:pPr>
      <w:r>
        <w:rPr>
          <w:sz w:val="28"/>
          <w:szCs w:val="22"/>
        </w:rPr>
        <w:t>Further information</w:t>
      </w:r>
      <w:r w:rsidR="007D4CD2" w:rsidRPr="00C21999">
        <w:rPr>
          <w:sz w:val="28"/>
          <w:szCs w:val="22"/>
        </w:rPr>
        <w:t xml:space="preserve"> </w:t>
      </w:r>
    </w:p>
    <w:p w14:paraId="73F6D3AC" w14:textId="0FDA58BF" w:rsidR="006C545F" w:rsidRPr="00B36C36" w:rsidRDefault="006C545F" w:rsidP="005F645A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Updated </w:t>
      </w:r>
      <w:hyperlink r:id="rId12" w:history="1">
        <w:r w:rsidR="00CD4602" w:rsidRPr="001C05B2">
          <w:rPr>
            <w:rStyle w:val="Hyperlink"/>
            <w:sz w:val="22"/>
          </w:rPr>
          <w:t>FAQ</w:t>
        </w:r>
        <w:r w:rsidRPr="001C05B2">
          <w:rPr>
            <w:rStyle w:val="Hyperlink"/>
            <w:sz w:val="22"/>
          </w:rPr>
          <w:t>s</w:t>
        </w:r>
      </w:hyperlink>
    </w:p>
    <w:p w14:paraId="5F236BD0" w14:textId="77777777" w:rsidR="00C71294" w:rsidRPr="00C71294" w:rsidRDefault="005F645A" w:rsidP="005F645A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For contracting queries please c</w:t>
      </w:r>
      <w:r w:rsidR="00C71294" w:rsidRPr="00C71294">
        <w:rPr>
          <w:color w:val="000000" w:themeColor="text1"/>
          <w:sz w:val="22"/>
        </w:rPr>
        <w:t>ontact your</w:t>
      </w:r>
      <w:r w:rsidR="007D4CD2" w:rsidRPr="00C71294">
        <w:rPr>
          <w:color w:val="000000" w:themeColor="text1"/>
          <w:sz w:val="22"/>
        </w:rPr>
        <w:t xml:space="preserve"> District Commissioning &amp; Planning team</w:t>
      </w:r>
    </w:p>
    <w:p w14:paraId="6CEBEDFD" w14:textId="77777777" w:rsidR="007D4CD2" w:rsidRPr="00C71294" w:rsidRDefault="005F645A" w:rsidP="005F645A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For general queries please contact the </w:t>
      </w:r>
      <w:r w:rsidR="007D4CD2" w:rsidRPr="00C71294">
        <w:rPr>
          <w:color w:val="000000" w:themeColor="text1"/>
          <w:sz w:val="22"/>
        </w:rPr>
        <w:t>TEI mailbox</w:t>
      </w:r>
      <w:r>
        <w:rPr>
          <w:color w:val="000000" w:themeColor="text1"/>
          <w:sz w:val="22"/>
        </w:rPr>
        <w:t xml:space="preserve"> at</w:t>
      </w:r>
      <w:r w:rsidR="007D4CD2" w:rsidRPr="00C71294">
        <w:rPr>
          <w:color w:val="000000" w:themeColor="text1"/>
          <w:sz w:val="22"/>
        </w:rPr>
        <w:t xml:space="preserve"> </w:t>
      </w:r>
      <w:hyperlink r:id="rId13" w:history="1">
        <w:r w:rsidR="007D4CD2" w:rsidRPr="00C71294">
          <w:rPr>
            <w:rStyle w:val="Hyperlink"/>
            <w:sz w:val="22"/>
          </w:rPr>
          <w:t>TEIReform@facs.nsw.gov.au</w:t>
        </w:r>
      </w:hyperlink>
      <w:r w:rsidR="007D4CD2" w:rsidRPr="00C71294">
        <w:rPr>
          <w:color w:val="000000" w:themeColor="text1"/>
          <w:sz w:val="22"/>
        </w:rPr>
        <w:t xml:space="preserve"> </w:t>
      </w:r>
    </w:p>
    <w:sectPr w:rsidR="007D4CD2" w:rsidRPr="00C71294" w:rsidSect="00C21999">
      <w:headerReference w:type="default" r:id="rId14"/>
      <w:footerReference w:type="default" r:id="rId15"/>
      <w:type w:val="continuous"/>
      <w:pgSz w:w="11906" w:h="16838"/>
      <w:pgMar w:top="1440" w:right="1440" w:bottom="1440" w:left="1440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F0A4" w14:textId="77777777" w:rsidR="00107F4D" w:rsidRDefault="00107F4D">
      <w:r>
        <w:separator/>
      </w:r>
    </w:p>
  </w:endnote>
  <w:endnote w:type="continuationSeparator" w:id="0">
    <w:p w14:paraId="3282D1F5" w14:textId="77777777" w:rsidR="00107F4D" w:rsidRDefault="0010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90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6203C" w14:textId="634A8C26" w:rsidR="00B75B49" w:rsidRDefault="00B75B49">
        <w:pPr>
          <w:pStyle w:val="Footer"/>
          <w:jc w:val="right"/>
        </w:pPr>
        <w:r w:rsidRPr="00B75B49">
          <w:rPr>
            <w:rFonts w:asciiTheme="minorHAnsi" w:hAnsiTheme="minorHAnsi"/>
            <w:b w:val="0"/>
            <w:color w:val="auto"/>
            <w:sz w:val="22"/>
            <w:szCs w:val="22"/>
          </w:rPr>
          <w:fldChar w:fldCharType="begin"/>
        </w:r>
        <w:r w:rsidRPr="00B75B49">
          <w:rPr>
            <w:rFonts w:asciiTheme="minorHAnsi" w:hAnsiTheme="minorHAnsi"/>
            <w:b w:val="0"/>
            <w:color w:val="auto"/>
            <w:sz w:val="22"/>
            <w:szCs w:val="22"/>
          </w:rPr>
          <w:instrText xml:space="preserve"> PAGE   \* MERGEFORMAT </w:instrText>
        </w:r>
        <w:r w:rsidRPr="00B75B49">
          <w:rPr>
            <w:rFonts w:asciiTheme="minorHAnsi" w:hAnsiTheme="minorHAnsi"/>
            <w:b w:val="0"/>
            <w:color w:val="auto"/>
            <w:sz w:val="22"/>
            <w:szCs w:val="22"/>
          </w:rPr>
          <w:fldChar w:fldCharType="separate"/>
        </w:r>
        <w:r w:rsidR="00754B9E">
          <w:rPr>
            <w:rFonts w:asciiTheme="minorHAnsi" w:hAnsiTheme="minorHAnsi"/>
            <w:b w:val="0"/>
            <w:noProof/>
            <w:color w:val="auto"/>
            <w:sz w:val="22"/>
            <w:szCs w:val="22"/>
          </w:rPr>
          <w:t>1</w:t>
        </w:r>
        <w:r w:rsidRPr="00B75B49">
          <w:rPr>
            <w:rFonts w:asciiTheme="minorHAnsi" w:hAnsiTheme="minorHAnsi"/>
            <w:b w:val="0"/>
            <w:noProof/>
            <w:color w:val="auto"/>
            <w:sz w:val="22"/>
            <w:szCs w:val="22"/>
          </w:rPr>
          <w:fldChar w:fldCharType="end"/>
        </w:r>
      </w:p>
    </w:sdtContent>
  </w:sdt>
  <w:p w14:paraId="74AFA93C" w14:textId="77777777" w:rsidR="00D60132" w:rsidRPr="00AF1F38" w:rsidRDefault="00D60132">
    <w:pPr>
      <w:pStyle w:val="Footer"/>
      <w:rPr>
        <w:rFonts w:cs="Arial"/>
        <w:color w:val="FFB81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5622" w14:textId="77777777" w:rsidR="00107F4D" w:rsidRDefault="00107F4D">
      <w:r>
        <w:separator/>
      </w:r>
    </w:p>
  </w:footnote>
  <w:footnote w:type="continuationSeparator" w:id="0">
    <w:p w14:paraId="1F71A50B" w14:textId="77777777" w:rsidR="00107F4D" w:rsidRDefault="0010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710A" w14:textId="77777777" w:rsidR="00D60132" w:rsidRPr="008355C2" w:rsidRDefault="00AF3611" w:rsidP="008355C2">
    <w:pPr>
      <w:pStyle w:val="Factshee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0B99C6" wp14:editId="20173825">
          <wp:simplePos x="0" y="0"/>
          <wp:positionH relativeFrom="column">
            <wp:posOffset>-857250</wp:posOffset>
          </wp:positionH>
          <wp:positionV relativeFrom="paragraph">
            <wp:posOffset>0</wp:posOffset>
          </wp:positionV>
          <wp:extent cx="7490460" cy="1690661"/>
          <wp:effectExtent l="0" t="0" r="0" b="5080"/>
          <wp:wrapNone/>
          <wp:docPr id="3" name="Picture 3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355" cy="16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64D72" w14:textId="77777777" w:rsidR="009C0215" w:rsidRDefault="00C86CE7" w:rsidP="009276F0">
    <w:pPr>
      <w:pStyle w:val="Issuedate"/>
      <w:spacing w:after="0"/>
      <w:rPr>
        <w:sz w:val="36"/>
        <w:szCs w:val="44"/>
      </w:rPr>
    </w:pPr>
    <w:r w:rsidRPr="00C86CE7">
      <w:rPr>
        <w:sz w:val="36"/>
        <w:szCs w:val="44"/>
      </w:rPr>
      <w:t xml:space="preserve">Fact Sheet </w:t>
    </w:r>
    <w:r w:rsidR="00554BD3" w:rsidRPr="00EA158B">
      <w:rPr>
        <w:sz w:val="36"/>
        <w:szCs w:val="44"/>
      </w:rPr>
      <w:t xml:space="preserve">– </w:t>
    </w:r>
    <w:r w:rsidR="006B6879">
      <w:rPr>
        <w:sz w:val="36"/>
        <w:szCs w:val="44"/>
      </w:rPr>
      <w:t xml:space="preserve">Provider-Led TEI </w:t>
    </w:r>
    <w:r w:rsidR="0076310C" w:rsidRPr="00EA158B">
      <w:rPr>
        <w:sz w:val="36"/>
        <w:szCs w:val="44"/>
      </w:rPr>
      <w:t>Pathways</w:t>
    </w:r>
  </w:p>
  <w:p w14:paraId="0C75ECD4" w14:textId="77777777" w:rsidR="00D60132" w:rsidRPr="009276F0" w:rsidRDefault="00B827CE" w:rsidP="009276F0">
    <w:pPr>
      <w:pStyle w:val="Issuedate"/>
      <w:spacing w:after="0"/>
      <w:rPr>
        <w:sz w:val="44"/>
        <w:szCs w:val="44"/>
      </w:rPr>
    </w:pPr>
    <w:r>
      <w:t>Nov</w:t>
    </w:r>
    <w:r w:rsidR="00307FC0">
      <w:t>ember</w:t>
    </w:r>
    <w:r w:rsidR="00F06AF6">
      <w:t xml:space="preserve"> 201</w:t>
    </w:r>
    <w:r w:rsidR="00EC2731">
      <w:t>8</w:t>
    </w:r>
    <w:r w:rsidR="0085460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20E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36207E"/>
    <w:multiLevelType w:val="hybridMultilevel"/>
    <w:tmpl w:val="6BD2CBBC"/>
    <w:lvl w:ilvl="0" w:tplc="927C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539D"/>
    <w:multiLevelType w:val="hybridMultilevel"/>
    <w:tmpl w:val="DDEC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2D00"/>
    <w:multiLevelType w:val="hybridMultilevel"/>
    <w:tmpl w:val="1C206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6202"/>
    <w:multiLevelType w:val="hybridMultilevel"/>
    <w:tmpl w:val="13285C16"/>
    <w:lvl w:ilvl="0" w:tplc="B860BE4C">
      <w:start w:val="1"/>
      <w:numFmt w:val="decimal"/>
      <w:pStyle w:val="ListNumber1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00A1D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D347D"/>
    <w:multiLevelType w:val="hybridMultilevel"/>
    <w:tmpl w:val="AA0E88CE"/>
    <w:lvl w:ilvl="0" w:tplc="BE5A0694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4CA6"/>
    <w:rsid w:val="00025B62"/>
    <w:rsid w:val="0002652D"/>
    <w:rsid w:val="00027C6A"/>
    <w:rsid w:val="000301A0"/>
    <w:rsid w:val="00030840"/>
    <w:rsid w:val="000329C1"/>
    <w:rsid w:val="000331DB"/>
    <w:rsid w:val="00034F60"/>
    <w:rsid w:val="0003643E"/>
    <w:rsid w:val="000411E5"/>
    <w:rsid w:val="00042E77"/>
    <w:rsid w:val="0004492A"/>
    <w:rsid w:val="00045AF7"/>
    <w:rsid w:val="00047744"/>
    <w:rsid w:val="00050210"/>
    <w:rsid w:val="00050277"/>
    <w:rsid w:val="000545D9"/>
    <w:rsid w:val="00054D7D"/>
    <w:rsid w:val="000610BC"/>
    <w:rsid w:val="00062436"/>
    <w:rsid w:val="00064BA4"/>
    <w:rsid w:val="00067E94"/>
    <w:rsid w:val="00071740"/>
    <w:rsid w:val="00071F45"/>
    <w:rsid w:val="0007285B"/>
    <w:rsid w:val="0007502D"/>
    <w:rsid w:val="0007553F"/>
    <w:rsid w:val="0007698C"/>
    <w:rsid w:val="0007784F"/>
    <w:rsid w:val="000779BA"/>
    <w:rsid w:val="000808D2"/>
    <w:rsid w:val="000813F9"/>
    <w:rsid w:val="000825C2"/>
    <w:rsid w:val="0008467A"/>
    <w:rsid w:val="00086B8E"/>
    <w:rsid w:val="000914D0"/>
    <w:rsid w:val="0009596E"/>
    <w:rsid w:val="00095D8D"/>
    <w:rsid w:val="00096208"/>
    <w:rsid w:val="00096EE0"/>
    <w:rsid w:val="000A0869"/>
    <w:rsid w:val="000A0F1E"/>
    <w:rsid w:val="000A5290"/>
    <w:rsid w:val="000A5608"/>
    <w:rsid w:val="000A6642"/>
    <w:rsid w:val="000A7162"/>
    <w:rsid w:val="000B0B8C"/>
    <w:rsid w:val="000B2234"/>
    <w:rsid w:val="000B2634"/>
    <w:rsid w:val="000B2A74"/>
    <w:rsid w:val="000B3409"/>
    <w:rsid w:val="000B3FA4"/>
    <w:rsid w:val="000B56D8"/>
    <w:rsid w:val="000B61E9"/>
    <w:rsid w:val="000B75EB"/>
    <w:rsid w:val="000C0268"/>
    <w:rsid w:val="000C0428"/>
    <w:rsid w:val="000C662F"/>
    <w:rsid w:val="000C6B1E"/>
    <w:rsid w:val="000D2599"/>
    <w:rsid w:val="000D7FA3"/>
    <w:rsid w:val="000E078B"/>
    <w:rsid w:val="000E182F"/>
    <w:rsid w:val="000E1E21"/>
    <w:rsid w:val="000E31DB"/>
    <w:rsid w:val="000E559F"/>
    <w:rsid w:val="000E7008"/>
    <w:rsid w:val="000F053E"/>
    <w:rsid w:val="000F0A6F"/>
    <w:rsid w:val="000F134F"/>
    <w:rsid w:val="000F17C1"/>
    <w:rsid w:val="000F249F"/>
    <w:rsid w:val="000F3370"/>
    <w:rsid w:val="000F4B16"/>
    <w:rsid w:val="000F6CE6"/>
    <w:rsid w:val="00101958"/>
    <w:rsid w:val="00104FC4"/>
    <w:rsid w:val="00107F4D"/>
    <w:rsid w:val="00111A55"/>
    <w:rsid w:val="00113B05"/>
    <w:rsid w:val="00115623"/>
    <w:rsid w:val="00116502"/>
    <w:rsid w:val="00117158"/>
    <w:rsid w:val="001174B1"/>
    <w:rsid w:val="00122CAE"/>
    <w:rsid w:val="0012441C"/>
    <w:rsid w:val="0013027E"/>
    <w:rsid w:val="00131EA4"/>
    <w:rsid w:val="00132059"/>
    <w:rsid w:val="00132F07"/>
    <w:rsid w:val="001344D3"/>
    <w:rsid w:val="00135905"/>
    <w:rsid w:val="00137892"/>
    <w:rsid w:val="00137F70"/>
    <w:rsid w:val="00140885"/>
    <w:rsid w:val="001441BA"/>
    <w:rsid w:val="001459AC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4E9"/>
    <w:rsid w:val="0017182A"/>
    <w:rsid w:val="00171F63"/>
    <w:rsid w:val="001742EA"/>
    <w:rsid w:val="00175CFF"/>
    <w:rsid w:val="00176158"/>
    <w:rsid w:val="0017634D"/>
    <w:rsid w:val="00182CDB"/>
    <w:rsid w:val="00183FE0"/>
    <w:rsid w:val="00184737"/>
    <w:rsid w:val="001909CA"/>
    <w:rsid w:val="00197B58"/>
    <w:rsid w:val="001A0A02"/>
    <w:rsid w:val="001B00B6"/>
    <w:rsid w:val="001B17A1"/>
    <w:rsid w:val="001B1850"/>
    <w:rsid w:val="001B247D"/>
    <w:rsid w:val="001B27D6"/>
    <w:rsid w:val="001B2A55"/>
    <w:rsid w:val="001B3A46"/>
    <w:rsid w:val="001B4A6B"/>
    <w:rsid w:val="001B4D62"/>
    <w:rsid w:val="001B79B1"/>
    <w:rsid w:val="001C05B2"/>
    <w:rsid w:val="001C15E4"/>
    <w:rsid w:val="001C37D4"/>
    <w:rsid w:val="001C6396"/>
    <w:rsid w:val="001C63AD"/>
    <w:rsid w:val="001C71A1"/>
    <w:rsid w:val="001D144E"/>
    <w:rsid w:val="001D3CC0"/>
    <w:rsid w:val="001D4DDA"/>
    <w:rsid w:val="001D77A4"/>
    <w:rsid w:val="001D7C21"/>
    <w:rsid w:val="001E12EE"/>
    <w:rsid w:val="001E556C"/>
    <w:rsid w:val="001E773D"/>
    <w:rsid w:val="001E783A"/>
    <w:rsid w:val="001F2B5D"/>
    <w:rsid w:val="001F3B60"/>
    <w:rsid w:val="001F46C1"/>
    <w:rsid w:val="001F5B89"/>
    <w:rsid w:val="001F5E9F"/>
    <w:rsid w:val="002002D0"/>
    <w:rsid w:val="002010FF"/>
    <w:rsid w:val="00201EC7"/>
    <w:rsid w:val="0020296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5F4F"/>
    <w:rsid w:val="00226F44"/>
    <w:rsid w:val="0023354E"/>
    <w:rsid w:val="00235151"/>
    <w:rsid w:val="00237B30"/>
    <w:rsid w:val="002407D0"/>
    <w:rsid w:val="002422C8"/>
    <w:rsid w:val="00245811"/>
    <w:rsid w:val="00250627"/>
    <w:rsid w:val="002552D9"/>
    <w:rsid w:val="0026232D"/>
    <w:rsid w:val="00262CF8"/>
    <w:rsid w:val="0026359F"/>
    <w:rsid w:val="00263903"/>
    <w:rsid w:val="00266AEE"/>
    <w:rsid w:val="00266ECB"/>
    <w:rsid w:val="00270797"/>
    <w:rsid w:val="00270A98"/>
    <w:rsid w:val="002718EB"/>
    <w:rsid w:val="00271DBC"/>
    <w:rsid w:val="00273BD2"/>
    <w:rsid w:val="002759E0"/>
    <w:rsid w:val="00277656"/>
    <w:rsid w:val="002805F3"/>
    <w:rsid w:val="002819A0"/>
    <w:rsid w:val="0028254B"/>
    <w:rsid w:val="00283423"/>
    <w:rsid w:val="00283A06"/>
    <w:rsid w:val="0028595F"/>
    <w:rsid w:val="00285DA3"/>
    <w:rsid w:val="00285F8B"/>
    <w:rsid w:val="00294596"/>
    <w:rsid w:val="0029670B"/>
    <w:rsid w:val="002A1BF5"/>
    <w:rsid w:val="002A2478"/>
    <w:rsid w:val="002A3643"/>
    <w:rsid w:val="002A4481"/>
    <w:rsid w:val="002A63B7"/>
    <w:rsid w:val="002A7FC0"/>
    <w:rsid w:val="002B0833"/>
    <w:rsid w:val="002B2FBC"/>
    <w:rsid w:val="002B4C25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7FD"/>
    <w:rsid w:val="002C7846"/>
    <w:rsid w:val="002D2786"/>
    <w:rsid w:val="002D2808"/>
    <w:rsid w:val="002D3D98"/>
    <w:rsid w:val="002D473B"/>
    <w:rsid w:val="002E1475"/>
    <w:rsid w:val="002E36BD"/>
    <w:rsid w:val="002E4809"/>
    <w:rsid w:val="002E4EA4"/>
    <w:rsid w:val="002E5E5E"/>
    <w:rsid w:val="002E7126"/>
    <w:rsid w:val="002F0164"/>
    <w:rsid w:val="002F11C1"/>
    <w:rsid w:val="002F194D"/>
    <w:rsid w:val="002F1BF6"/>
    <w:rsid w:val="002F4E30"/>
    <w:rsid w:val="002F5488"/>
    <w:rsid w:val="002F61A0"/>
    <w:rsid w:val="002F6D0C"/>
    <w:rsid w:val="002F7EDC"/>
    <w:rsid w:val="00300844"/>
    <w:rsid w:val="003033E8"/>
    <w:rsid w:val="00303498"/>
    <w:rsid w:val="00305829"/>
    <w:rsid w:val="00307D53"/>
    <w:rsid w:val="00307FC0"/>
    <w:rsid w:val="0031124B"/>
    <w:rsid w:val="003117CD"/>
    <w:rsid w:val="00315796"/>
    <w:rsid w:val="003163BC"/>
    <w:rsid w:val="003173AB"/>
    <w:rsid w:val="00320D58"/>
    <w:rsid w:val="0032372B"/>
    <w:rsid w:val="00326CA1"/>
    <w:rsid w:val="003306A3"/>
    <w:rsid w:val="00330901"/>
    <w:rsid w:val="00333D00"/>
    <w:rsid w:val="00334EDE"/>
    <w:rsid w:val="0033547A"/>
    <w:rsid w:val="0034140D"/>
    <w:rsid w:val="00343FC0"/>
    <w:rsid w:val="003451FB"/>
    <w:rsid w:val="00345B32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66B46"/>
    <w:rsid w:val="00371240"/>
    <w:rsid w:val="00373822"/>
    <w:rsid w:val="00374198"/>
    <w:rsid w:val="00374705"/>
    <w:rsid w:val="0037731A"/>
    <w:rsid w:val="00382DD2"/>
    <w:rsid w:val="00383F13"/>
    <w:rsid w:val="003864CF"/>
    <w:rsid w:val="003869F8"/>
    <w:rsid w:val="003873C7"/>
    <w:rsid w:val="00393363"/>
    <w:rsid w:val="0039342F"/>
    <w:rsid w:val="00394F0A"/>
    <w:rsid w:val="003A0D8E"/>
    <w:rsid w:val="003A1D8E"/>
    <w:rsid w:val="003A1E7D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517"/>
    <w:rsid w:val="003B5958"/>
    <w:rsid w:val="003B76E6"/>
    <w:rsid w:val="003B7C6B"/>
    <w:rsid w:val="003C0BBB"/>
    <w:rsid w:val="003C1A02"/>
    <w:rsid w:val="003C357D"/>
    <w:rsid w:val="003C497F"/>
    <w:rsid w:val="003D026C"/>
    <w:rsid w:val="003D3968"/>
    <w:rsid w:val="003D3F7D"/>
    <w:rsid w:val="003D5AFA"/>
    <w:rsid w:val="003D6256"/>
    <w:rsid w:val="003D74B2"/>
    <w:rsid w:val="003D777E"/>
    <w:rsid w:val="003E027E"/>
    <w:rsid w:val="003E040E"/>
    <w:rsid w:val="003E10A9"/>
    <w:rsid w:val="003E2B10"/>
    <w:rsid w:val="003E3494"/>
    <w:rsid w:val="003F0F71"/>
    <w:rsid w:val="003F12EE"/>
    <w:rsid w:val="003F1D65"/>
    <w:rsid w:val="003F4AE1"/>
    <w:rsid w:val="003F5D47"/>
    <w:rsid w:val="003F7832"/>
    <w:rsid w:val="004003FB"/>
    <w:rsid w:val="00403E95"/>
    <w:rsid w:val="00403ECB"/>
    <w:rsid w:val="00404713"/>
    <w:rsid w:val="004051BE"/>
    <w:rsid w:val="00413496"/>
    <w:rsid w:val="00414BB7"/>
    <w:rsid w:val="00414BFB"/>
    <w:rsid w:val="004157A1"/>
    <w:rsid w:val="0041637F"/>
    <w:rsid w:val="00417530"/>
    <w:rsid w:val="004209CB"/>
    <w:rsid w:val="0042151C"/>
    <w:rsid w:val="00422F58"/>
    <w:rsid w:val="004250D1"/>
    <w:rsid w:val="00426C75"/>
    <w:rsid w:val="00426CCF"/>
    <w:rsid w:val="0042762C"/>
    <w:rsid w:val="0043154E"/>
    <w:rsid w:val="00431C7D"/>
    <w:rsid w:val="00432A97"/>
    <w:rsid w:val="004330E7"/>
    <w:rsid w:val="00433911"/>
    <w:rsid w:val="00433F77"/>
    <w:rsid w:val="0043730B"/>
    <w:rsid w:val="00437E31"/>
    <w:rsid w:val="00441A49"/>
    <w:rsid w:val="00443223"/>
    <w:rsid w:val="004450E5"/>
    <w:rsid w:val="0044771E"/>
    <w:rsid w:val="00454ABB"/>
    <w:rsid w:val="00456D1B"/>
    <w:rsid w:val="004578D4"/>
    <w:rsid w:val="00460A62"/>
    <w:rsid w:val="00462C0D"/>
    <w:rsid w:val="00463348"/>
    <w:rsid w:val="00463693"/>
    <w:rsid w:val="00465278"/>
    <w:rsid w:val="00465B77"/>
    <w:rsid w:val="00465CA9"/>
    <w:rsid w:val="00471904"/>
    <w:rsid w:val="00471D1D"/>
    <w:rsid w:val="00471FED"/>
    <w:rsid w:val="00472613"/>
    <w:rsid w:val="00474D1F"/>
    <w:rsid w:val="00477082"/>
    <w:rsid w:val="0047716D"/>
    <w:rsid w:val="00481CE8"/>
    <w:rsid w:val="00482A4A"/>
    <w:rsid w:val="004835E1"/>
    <w:rsid w:val="00483E4D"/>
    <w:rsid w:val="00483E8C"/>
    <w:rsid w:val="00484FDF"/>
    <w:rsid w:val="00484FED"/>
    <w:rsid w:val="00486013"/>
    <w:rsid w:val="00486ADF"/>
    <w:rsid w:val="004871D3"/>
    <w:rsid w:val="00487C45"/>
    <w:rsid w:val="004909FF"/>
    <w:rsid w:val="00492558"/>
    <w:rsid w:val="00492B05"/>
    <w:rsid w:val="004930E5"/>
    <w:rsid w:val="004955BF"/>
    <w:rsid w:val="00497695"/>
    <w:rsid w:val="00497A81"/>
    <w:rsid w:val="004A39D0"/>
    <w:rsid w:val="004A7DCC"/>
    <w:rsid w:val="004B1C7A"/>
    <w:rsid w:val="004B27B0"/>
    <w:rsid w:val="004B3DEE"/>
    <w:rsid w:val="004B4725"/>
    <w:rsid w:val="004B47D6"/>
    <w:rsid w:val="004B73E4"/>
    <w:rsid w:val="004C4253"/>
    <w:rsid w:val="004C43F8"/>
    <w:rsid w:val="004C46B8"/>
    <w:rsid w:val="004C4868"/>
    <w:rsid w:val="004C53B5"/>
    <w:rsid w:val="004C7CEB"/>
    <w:rsid w:val="004C7D0A"/>
    <w:rsid w:val="004D006D"/>
    <w:rsid w:val="004D3681"/>
    <w:rsid w:val="004D5B8A"/>
    <w:rsid w:val="004D5D40"/>
    <w:rsid w:val="004D7EA7"/>
    <w:rsid w:val="004E0626"/>
    <w:rsid w:val="004E63F8"/>
    <w:rsid w:val="004F5225"/>
    <w:rsid w:val="004F68F4"/>
    <w:rsid w:val="00500814"/>
    <w:rsid w:val="00501A40"/>
    <w:rsid w:val="0050731C"/>
    <w:rsid w:val="00512431"/>
    <w:rsid w:val="0051350F"/>
    <w:rsid w:val="005138C1"/>
    <w:rsid w:val="00513B31"/>
    <w:rsid w:val="00514203"/>
    <w:rsid w:val="00515388"/>
    <w:rsid w:val="005176D3"/>
    <w:rsid w:val="00517D85"/>
    <w:rsid w:val="00524E2C"/>
    <w:rsid w:val="00532867"/>
    <w:rsid w:val="00534612"/>
    <w:rsid w:val="005362AF"/>
    <w:rsid w:val="00537C3A"/>
    <w:rsid w:val="00540306"/>
    <w:rsid w:val="00540BEA"/>
    <w:rsid w:val="00542D54"/>
    <w:rsid w:val="00543D3A"/>
    <w:rsid w:val="005501FF"/>
    <w:rsid w:val="00552DEE"/>
    <w:rsid w:val="00553933"/>
    <w:rsid w:val="00554BD3"/>
    <w:rsid w:val="00557D72"/>
    <w:rsid w:val="0056136E"/>
    <w:rsid w:val="00563F7C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0DA"/>
    <w:rsid w:val="00587B7D"/>
    <w:rsid w:val="00587FC3"/>
    <w:rsid w:val="005927CC"/>
    <w:rsid w:val="005A144A"/>
    <w:rsid w:val="005A14CC"/>
    <w:rsid w:val="005A2F57"/>
    <w:rsid w:val="005A576C"/>
    <w:rsid w:val="005A5F47"/>
    <w:rsid w:val="005A651F"/>
    <w:rsid w:val="005A697A"/>
    <w:rsid w:val="005A74E6"/>
    <w:rsid w:val="005B05EB"/>
    <w:rsid w:val="005B3E6F"/>
    <w:rsid w:val="005B5754"/>
    <w:rsid w:val="005B65BE"/>
    <w:rsid w:val="005B72A1"/>
    <w:rsid w:val="005C03C7"/>
    <w:rsid w:val="005C0C76"/>
    <w:rsid w:val="005C13AA"/>
    <w:rsid w:val="005C1A32"/>
    <w:rsid w:val="005C3829"/>
    <w:rsid w:val="005D2418"/>
    <w:rsid w:val="005D3C1E"/>
    <w:rsid w:val="005D5243"/>
    <w:rsid w:val="005E0EC4"/>
    <w:rsid w:val="005E2F6F"/>
    <w:rsid w:val="005E304F"/>
    <w:rsid w:val="005E397B"/>
    <w:rsid w:val="005E4202"/>
    <w:rsid w:val="005E5D5C"/>
    <w:rsid w:val="005F206A"/>
    <w:rsid w:val="005F265C"/>
    <w:rsid w:val="005F47CF"/>
    <w:rsid w:val="005F645A"/>
    <w:rsid w:val="005F68CF"/>
    <w:rsid w:val="005F7C64"/>
    <w:rsid w:val="00602501"/>
    <w:rsid w:val="00602E79"/>
    <w:rsid w:val="006047A5"/>
    <w:rsid w:val="00606514"/>
    <w:rsid w:val="00606598"/>
    <w:rsid w:val="00606934"/>
    <w:rsid w:val="006116BA"/>
    <w:rsid w:val="006142B5"/>
    <w:rsid w:val="00616FBF"/>
    <w:rsid w:val="0062186B"/>
    <w:rsid w:val="0062259C"/>
    <w:rsid w:val="00624F0D"/>
    <w:rsid w:val="00625C93"/>
    <w:rsid w:val="00626515"/>
    <w:rsid w:val="006268D0"/>
    <w:rsid w:val="00626FD3"/>
    <w:rsid w:val="006275A6"/>
    <w:rsid w:val="0063059C"/>
    <w:rsid w:val="00635154"/>
    <w:rsid w:val="0064023A"/>
    <w:rsid w:val="006407A6"/>
    <w:rsid w:val="00641B08"/>
    <w:rsid w:val="006466A9"/>
    <w:rsid w:val="006502AF"/>
    <w:rsid w:val="00651816"/>
    <w:rsid w:val="0065336C"/>
    <w:rsid w:val="006560D6"/>
    <w:rsid w:val="00656D1A"/>
    <w:rsid w:val="0065732F"/>
    <w:rsid w:val="00657E24"/>
    <w:rsid w:val="006604A0"/>
    <w:rsid w:val="00662ABD"/>
    <w:rsid w:val="006632AB"/>
    <w:rsid w:val="0066560E"/>
    <w:rsid w:val="00667F27"/>
    <w:rsid w:val="0067045C"/>
    <w:rsid w:val="00673C2E"/>
    <w:rsid w:val="00673F44"/>
    <w:rsid w:val="0067451E"/>
    <w:rsid w:val="00675CB8"/>
    <w:rsid w:val="00676748"/>
    <w:rsid w:val="00681CB1"/>
    <w:rsid w:val="0068374C"/>
    <w:rsid w:val="00684100"/>
    <w:rsid w:val="00686439"/>
    <w:rsid w:val="00693256"/>
    <w:rsid w:val="0069529F"/>
    <w:rsid w:val="006971DF"/>
    <w:rsid w:val="00697943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3E9"/>
    <w:rsid w:val="006B5948"/>
    <w:rsid w:val="006B6879"/>
    <w:rsid w:val="006C0C3B"/>
    <w:rsid w:val="006C4501"/>
    <w:rsid w:val="006C47B1"/>
    <w:rsid w:val="006C545F"/>
    <w:rsid w:val="006C592C"/>
    <w:rsid w:val="006D08FD"/>
    <w:rsid w:val="006D1E36"/>
    <w:rsid w:val="006D2E28"/>
    <w:rsid w:val="006D3EDD"/>
    <w:rsid w:val="006D3F1D"/>
    <w:rsid w:val="006D6D40"/>
    <w:rsid w:val="006D7E3A"/>
    <w:rsid w:val="006E3BEB"/>
    <w:rsid w:val="006E79A0"/>
    <w:rsid w:val="006F0E4E"/>
    <w:rsid w:val="006F1DD2"/>
    <w:rsid w:val="006F3E6A"/>
    <w:rsid w:val="006F3E7B"/>
    <w:rsid w:val="006F4102"/>
    <w:rsid w:val="006F678D"/>
    <w:rsid w:val="006F6C97"/>
    <w:rsid w:val="006F7E8A"/>
    <w:rsid w:val="00700862"/>
    <w:rsid w:val="00700FFE"/>
    <w:rsid w:val="0070389C"/>
    <w:rsid w:val="007039F2"/>
    <w:rsid w:val="00703E2D"/>
    <w:rsid w:val="00705798"/>
    <w:rsid w:val="00706202"/>
    <w:rsid w:val="00706338"/>
    <w:rsid w:val="00706E5A"/>
    <w:rsid w:val="00707B6E"/>
    <w:rsid w:val="00711F21"/>
    <w:rsid w:val="007143CA"/>
    <w:rsid w:val="007159EE"/>
    <w:rsid w:val="0072085C"/>
    <w:rsid w:val="00722530"/>
    <w:rsid w:val="007225CF"/>
    <w:rsid w:val="007227F3"/>
    <w:rsid w:val="00722BDC"/>
    <w:rsid w:val="00724361"/>
    <w:rsid w:val="0072526F"/>
    <w:rsid w:val="00725308"/>
    <w:rsid w:val="00726A64"/>
    <w:rsid w:val="00726BCE"/>
    <w:rsid w:val="00730305"/>
    <w:rsid w:val="00730C7D"/>
    <w:rsid w:val="00735662"/>
    <w:rsid w:val="00735B9D"/>
    <w:rsid w:val="00735D7C"/>
    <w:rsid w:val="0073706D"/>
    <w:rsid w:val="007370A0"/>
    <w:rsid w:val="007373FB"/>
    <w:rsid w:val="00737805"/>
    <w:rsid w:val="00740C49"/>
    <w:rsid w:val="00740E3B"/>
    <w:rsid w:val="007418B7"/>
    <w:rsid w:val="007502D3"/>
    <w:rsid w:val="0075359D"/>
    <w:rsid w:val="007539EE"/>
    <w:rsid w:val="00754B9E"/>
    <w:rsid w:val="00756146"/>
    <w:rsid w:val="00760AA8"/>
    <w:rsid w:val="00761AA7"/>
    <w:rsid w:val="00761B41"/>
    <w:rsid w:val="0076310C"/>
    <w:rsid w:val="007653AC"/>
    <w:rsid w:val="007712A3"/>
    <w:rsid w:val="007719DB"/>
    <w:rsid w:val="00773342"/>
    <w:rsid w:val="007775C2"/>
    <w:rsid w:val="0078400F"/>
    <w:rsid w:val="00786E53"/>
    <w:rsid w:val="007870F3"/>
    <w:rsid w:val="007904E8"/>
    <w:rsid w:val="00791E58"/>
    <w:rsid w:val="00793026"/>
    <w:rsid w:val="00794002"/>
    <w:rsid w:val="00794B8E"/>
    <w:rsid w:val="007A0631"/>
    <w:rsid w:val="007A0690"/>
    <w:rsid w:val="007A2415"/>
    <w:rsid w:val="007A2A55"/>
    <w:rsid w:val="007A3024"/>
    <w:rsid w:val="007A3D47"/>
    <w:rsid w:val="007A4ACF"/>
    <w:rsid w:val="007A5679"/>
    <w:rsid w:val="007A7222"/>
    <w:rsid w:val="007A72B6"/>
    <w:rsid w:val="007A7B79"/>
    <w:rsid w:val="007B10A1"/>
    <w:rsid w:val="007B566E"/>
    <w:rsid w:val="007B76C3"/>
    <w:rsid w:val="007B796A"/>
    <w:rsid w:val="007C2068"/>
    <w:rsid w:val="007C314E"/>
    <w:rsid w:val="007C5444"/>
    <w:rsid w:val="007D0D89"/>
    <w:rsid w:val="007D4CD2"/>
    <w:rsid w:val="007D5C84"/>
    <w:rsid w:val="007D612F"/>
    <w:rsid w:val="007D7250"/>
    <w:rsid w:val="007D7989"/>
    <w:rsid w:val="007E0541"/>
    <w:rsid w:val="007E283B"/>
    <w:rsid w:val="007E4FB6"/>
    <w:rsid w:val="007E4FCF"/>
    <w:rsid w:val="007E6506"/>
    <w:rsid w:val="007E6630"/>
    <w:rsid w:val="007E74CE"/>
    <w:rsid w:val="007F0DFF"/>
    <w:rsid w:val="007F21E1"/>
    <w:rsid w:val="007F249A"/>
    <w:rsid w:val="007F389F"/>
    <w:rsid w:val="007F49B2"/>
    <w:rsid w:val="007F4BB5"/>
    <w:rsid w:val="007F4CD1"/>
    <w:rsid w:val="007F5F30"/>
    <w:rsid w:val="007F6563"/>
    <w:rsid w:val="00802624"/>
    <w:rsid w:val="00802DD7"/>
    <w:rsid w:val="00805D5C"/>
    <w:rsid w:val="00807728"/>
    <w:rsid w:val="00810C20"/>
    <w:rsid w:val="00812FCB"/>
    <w:rsid w:val="008179F4"/>
    <w:rsid w:val="0082299C"/>
    <w:rsid w:val="00822A85"/>
    <w:rsid w:val="00823721"/>
    <w:rsid w:val="00827DC0"/>
    <w:rsid w:val="00830009"/>
    <w:rsid w:val="00830C15"/>
    <w:rsid w:val="00832FAA"/>
    <w:rsid w:val="00834910"/>
    <w:rsid w:val="008355C2"/>
    <w:rsid w:val="008359C8"/>
    <w:rsid w:val="008408C9"/>
    <w:rsid w:val="00841744"/>
    <w:rsid w:val="0084320C"/>
    <w:rsid w:val="00843501"/>
    <w:rsid w:val="00844494"/>
    <w:rsid w:val="00846294"/>
    <w:rsid w:val="0085229E"/>
    <w:rsid w:val="00852784"/>
    <w:rsid w:val="0085449F"/>
    <w:rsid w:val="0085460E"/>
    <w:rsid w:val="0085592C"/>
    <w:rsid w:val="00855AA6"/>
    <w:rsid w:val="00855C78"/>
    <w:rsid w:val="00861790"/>
    <w:rsid w:val="0086371E"/>
    <w:rsid w:val="00863BDD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490E"/>
    <w:rsid w:val="008873F6"/>
    <w:rsid w:val="008940F6"/>
    <w:rsid w:val="00897487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5666"/>
    <w:rsid w:val="008D12BF"/>
    <w:rsid w:val="008D367F"/>
    <w:rsid w:val="008D43FA"/>
    <w:rsid w:val="008D4793"/>
    <w:rsid w:val="008E03EC"/>
    <w:rsid w:val="008E2FCC"/>
    <w:rsid w:val="008E3093"/>
    <w:rsid w:val="008E6C1E"/>
    <w:rsid w:val="008E7B78"/>
    <w:rsid w:val="008F2FB1"/>
    <w:rsid w:val="008F361D"/>
    <w:rsid w:val="008F757B"/>
    <w:rsid w:val="00900828"/>
    <w:rsid w:val="00900D31"/>
    <w:rsid w:val="0090365B"/>
    <w:rsid w:val="00903812"/>
    <w:rsid w:val="00903AF6"/>
    <w:rsid w:val="00904202"/>
    <w:rsid w:val="00904A57"/>
    <w:rsid w:val="00906663"/>
    <w:rsid w:val="00912F5F"/>
    <w:rsid w:val="0091352A"/>
    <w:rsid w:val="00914AA2"/>
    <w:rsid w:val="00915392"/>
    <w:rsid w:val="00916AE4"/>
    <w:rsid w:val="00917E2A"/>
    <w:rsid w:val="00925E78"/>
    <w:rsid w:val="009276F0"/>
    <w:rsid w:val="00931A41"/>
    <w:rsid w:val="009320E3"/>
    <w:rsid w:val="00937AB0"/>
    <w:rsid w:val="00941B6E"/>
    <w:rsid w:val="00944CB0"/>
    <w:rsid w:val="0095060E"/>
    <w:rsid w:val="009518D2"/>
    <w:rsid w:val="00953E8A"/>
    <w:rsid w:val="00956E14"/>
    <w:rsid w:val="00956EC5"/>
    <w:rsid w:val="00957896"/>
    <w:rsid w:val="00963F47"/>
    <w:rsid w:val="009674B8"/>
    <w:rsid w:val="00970410"/>
    <w:rsid w:val="00970D43"/>
    <w:rsid w:val="0097143B"/>
    <w:rsid w:val="00971CE0"/>
    <w:rsid w:val="0097500C"/>
    <w:rsid w:val="009805BD"/>
    <w:rsid w:val="0098118D"/>
    <w:rsid w:val="00981E50"/>
    <w:rsid w:val="009827BA"/>
    <w:rsid w:val="0098461E"/>
    <w:rsid w:val="00985076"/>
    <w:rsid w:val="0098586D"/>
    <w:rsid w:val="009871B1"/>
    <w:rsid w:val="00987C51"/>
    <w:rsid w:val="00993332"/>
    <w:rsid w:val="00994C4A"/>
    <w:rsid w:val="009962CF"/>
    <w:rsid w:val="0099637D"/>
    <w:rsid w:val="00997723"/>
    <w:rsid w:val="009A1F44"/>
    <w:rsid w:val="009A3228"/>
    <w:rsid w:val="009A4B2E"/>
    <w:rsid w:val="009A577D"/>
    <w:rsid w:val="009A7C06"/>
    <w:rsid w:val="009B03A5"/>
    <w:rsid w:val="009B1480"/>
    <w:rsid w:val="009B1840"/>
    <w:rsid w:val="009B275D"/>
    <w:rsid w:val="009B3925"/>
    <w:rsid w:val="009B3DA3"/>
    <w:rsid w:val="009B6768"/>
    <w:rsid w:val="009B799E"/>
    <w:rsid w:val="009C0215"/>
    <w:rsid w:val="009C09F9"/>
    <w:rsid w:val="009C39F9"/>
    <w:rsid w:val="009C4138"/>
    <w:rsid w:val="009C4CB3"/>
    <w:rsid w:val="009D0DE8"/>
    <w:rsid w:val="009D1EF2"/>
    <w:rsid w:val="009D28B3"/>
    <w:rsid w:val="009D2F67"/>
    <w:rsid w:val="009D3B98"/>
    <w:rsid w:val="009D4F3C"/>
    <w:rsid w:val="009D4F40"/>
    <w:rsid w:val="009E3C87"/>
    <w:rsid w:val="009E46E2"/>
    <w:rsid w:val="009E4B0D"/>
    <w:rsid w:val="009E4DB0"/>
    <w:rsid w:val="009E4FEF"/>
    <w:rsid w:val="009E7D17"/>
    <w:rsid w:val="009F05C3"/>
    <w:rsid w:val="009F0CFA"/>
    <w:rsid w:val="009F165F"/>
    <w:rsid w:val="009F2001"/>
    <w:rsid w:val="009F3242"/>
    <w:rsid w:val="009F32DF"/>
    <w:rsid w:val="009F3EA5"/>
    <w:rsid w:val="009F501A"/>
    <w:rsid w:val="009F5A7B"/>
    <w:rsid w:val="009F6E4C"/>
    <w:rsid w:val="009F7339"/>
    <w:rsid w:val="00A01DF9"/>
    <w:rsid w:val="00A06A1B"/>
    <w:rsid w:val="00A06DC4"/>
    <w:rsid w:val="00A06F4C"/>
    <w:rsid w:val="00A103A2"/>
    <w:rsid w:val="00A128C4"/>
    <w:rsid w:val="00A12F22"/>
    <w:rsid w:val="00A140C4"/>
    <w:rsid w:val="00A155ED"/>
    <w:rsid w:val="00A160B4"/>
    <w:rsid w:val="00A160EE"/>
    <w:rsid w:val="00A21DD3"/>
    <w:rsid w:val="00A241FD"/>
    <w:rsid w:val="00A25CE3"/>
    <w:rsid w:val="00A3196A"/>
    <w:rsid w:val="00A33B7C"/>
    <w:rsid w:val="00A33B90"/>
    <w:rsid w:val="00A33EF5"/>
    <w:rsid w:val="00A3617B"/>
    <w:rsid w:val="00A36BE4"/>
    <w:rsid w:val="00A413C4"/>
    <w:rsid w:val="00A4153B"/>
    <w:rsid w:val="00A428D7"/>
    <w:rsid w:val="00A440B8"/>
    <w:rsid w:val="00A44AF0"/>
    <w:rsid w:val="00A44CF3"/>
    <w:rsid w:val="00A47932"/>
    <w:rsid w:val="00A50459"/>
    <w:rsid w:val="00A534C8"/>
    <w:rsid w:val="00A54292"/>
    <w:rsid w:val="00A54816"/>
    <w:rsid w:val="00A554CE"/>
    <w:rsid w:val="00A5593B"/>
    <w:rsid w:val="00A55A46"/>
    <w:rsid w:val="00A60F03"/>
    <w:rsid w:val="00A628C2"/>
    <w:rsid w:val="00A63896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72"/>
    <w:rsid w:val="00A96FAD"/>
    <w:rsid w:val="00A972A4"/>
    <w:rsid w:val="00A97E8E"/>
    <w:rsid w:val="00AA0677"/>
    <w:rsid w:val="00AA070D"/>
    <w:rsid w:val="00AA1F7F"/>
    <w:rsid w:val="00AA3945"/>
    <w:rsid w:val="00AA748D"/>
    <w:rsid w:val="00AB25AB"/>
    <w:rsid w:val="00AB2F33"/>
    <w:rsid w:val="00AB4BED"/>
    <w:rsid w:val="00AB619A"/>
    <w:rsid w:val="00AB6AC5"/>
    <w:rsid w:val="00AC2363"/>
    <w:rsid w:val="00AC593C"/>
    <w:rsid w:val="00AC61EC"/>
    <w:rsid w:val="00AC72F0"/>
    <w:rsid w:val="00AC7892"/>
    <w:rsid w:val="00AC791A"/>
    <w:rsid w:val="00AD198A"/>
    <w:rsid w:val="00AD392C"/>
    <w:rsid w:val="00AD6452"/>
    <w:rsid w:val="00AD7126"/>
    <w:rsid w:val="00AE05C4"/>
    <w:rsid w:val="00AE59F0"/>
    <w:rsid w:val="00AE6C6D"/>
    <w:rsid w:val="00AF0285"/>
    <w:rsid w:val="00AF1F38"/>
    <w:rsid w:val="00AF3611"/>
    <w:rsid w:val="00B000DB"/>
    <w:rsid w:val="00B06988"/>
    <w:rsid w:val="00B1087F"/>
    <w:rsid w:val="00B11633"/>
    <w:rsid w:val="00B136C8"/>
    <w:rsid w:val="00B14BFD"/>
    <w:rsid w:val="00B17C26"/>
    <w:rsid w:val="00B20EB9"/>
    <w:rsid w:val="00B21A38"/>
    <w:rsid w:val="00B2208A"/>
    <w:rsid w:val="00B25D04"/>
    <w:rsid w:val="00B2768A"/>
    <w:rsid w:val="00B34ECD"/>
    <w:rsid w:val="00B359F1"/>
    <w:rsid w:val="00B36C36"/>
    <w:rsid w:val="00B402E4"/>
    <w:rsid w:val="00B41260"/>
    <w:rsid w:val="00B41A1F"/>
    <w:rsid w:val="00B42E72"/>
    <w:rsid w:val="00B4316D"/>
    <w:rsid w:val="00B436F2"/>
    <w:rsid w:val="00B442B4"/>
    <w:rsid w:val="00B46DAD"/>
    <w:rsid w:val="00B47AEC"/>
    <w:rsid w:val="00B50CEC"/>
    <w:rsid w:val="00B51E4A"/>
    <w:rsid w:val="00B5290C"/>
    <w:rsid w:val="00B52D41"/>
    <w:rsid w:val="00B530A0"/>
    <w:rsid w:val="00B57503"/>
    <w:rsid w:val="00B579B2"/>
    <w:rsid w:val="00B65329"/>
    <w:rsid w:val="00B6725F"/>
    <w:rsid w:val="00B70335"/>
    <w:rsid w:val="00B72875"/>
    <w:rsid w:val="00B745E9"/>
    <w:rsid w:val="00B75B49"/>
    <w:rsid w:val="00B77ED0"/>
    <w:rsid w:val="00B81F48"/>
    <w:rsid w:val="00B827CE"/>
    <w:rsid w:val="00B830DD"/>
    <w:rsid w:val="00B83204"/>
    <w:rsid w:val="00B8325F"/>
    <w:rsid w:val="00B9065D"/>
    <w:rsid w:val="00B90891"/>
    <w:rsid w:val="00B9232D"/>
    <w:rsid w:val="00B923F1"/>
    <w:rsid w:val="00B92B37"/>
    <w:rsid w:val="00B93062"/>
    <w:rsid w:val="00B93AD1"/>
    <w:rsid w:val="00B93FBE"/>
    <w:rsid w:val="00B94763"/>
    <w:rsid w:val="00B97DB3"/>
    <w:rsid w:val="00BA31AA"/>
    <w:rsid w:val="00BA4230"/>
    <w:rsid w:val="00BA4468"/>
    <w:rsid w:val="00BA4AE9"/>
    <w:rsid w:val="00BA5201"/>
    <w:rsid w:val="00BB11ED"/>
    <w:rsid w:val="00BB1545"/>
    <w:rsid w:val="00BB1802"/>
    <w:rsid w:val="00BB304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49D2"/>
    <w:rsid w:val="00BE6452"/>
    <w:rsid w:val="00BE6932"/>
    <w:rsid w:val="00BE7099"/>
    <w:rsid w:val="00BF642E"/>
    <w:rsid w:val="00BF6558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4BF6"/>
    <w:rsid w:val="00C1543B"/>
    <w:rsid w:val="00C20CC5"/>
    <w:rsid w:val="00C212C5"/>
    <w:rsid w:val="00C2134C"/>
    <w:rsid w:val="00C21999"/>
    <w:rsid w:val="00C23E09"/>
    <w:rsid w:val="00C30FCC"/>
    <w:rsid w:val="00C33295"/>
    <w:rsid w:val="00C33DD7"/>
    <w:rsid w:val="00C35D5C"/>
    <w:rsid w:val="00C36D69"/>
    <w:rsid w:val="00C4024C"/>
    <w:rsid w:val="00C406FB"/>
    <w:rsid w:val="00C4100B"/>
    <w:rsid w:val="00C410A5"/>
    <w:rsid w:val="00C42048"/>
    <w:rsid w:val="00C45EA3"/>
    <w:rsid w:val="00C50343"/>
    <w:rsid w:val="00C5065A"/>
    <w:rsid w:val="00C509C4"/>
    <w:rsid w:val="00C56180"/>
    <w:rsid w:val="00C61DAC"/>
    <w:rsid w:val="00C628C9"/>
    <w:rsid w:val="00C6472A"/>
    <w:rsid w:val="00C64EEA"/>
    <w:rsid w:val="00C708FF"/>
    <w:rsid w:val="00C71294"/>
    <w:rsid w:val="00C73AAF"/>
    <w:rsid w:val="00C76E7C"/>
    <w:rsid w:val="00C81613"/>
    <w:rsid w:val="00C83EA4"/>
    <w:rsid w:val="00C84B7F"/>
    <w:rsid w:val="00C8520A"/>
    <w:rsid w:val="00C8614E"/>
    <w:rsid w:val="00C86CE7"/>
    <w:rsid w:val="00C90241"/>
    <w:rsid w:val="00C9098F"/>
    <w:rsid w:val="00C92DB0"/>
    <w:rsid w:val="00C92EA9"/>
    <w:rsid w:val="00C93EAA"/>
    <w:rsid w:val="00C943C1"/>
    <w:rsid w:val="00C94DCD"/>
    <w:rsid w:val="00C95BD4"/>
    <w:rsid w:val="00C9763D"/>
    <w:rsid w:val="00CA147F"/>
    <w:rsid w:val="00CA4627"/>
    <w:rsid w:val="00CA4B81"/>
    <w:rsid w:val="00CA6329"/>
    <w:rsid w:val="00CB0BCA"/>
    <w:rsid w:val="00CB1303"/>
    <w:rsid w:val="00CB3F1D"/>
    <w:rsid w:val="00CB6A03"/>
    <w:rsid w:val="00CB74C6"/>
    <w:rsid w:val="00CC4171"/>
    <w:rsid w:val="00CC47D6"/>
    <w:rsid w:val="00CC4B9C"/>
    <w:rsid w:val="00CC52A0"/>
    <w:rsid w:val="00CC5ABA"/>
    <w:rsid w:val="00CC63CB"/>
    <w:rsid w:val="00CD0663"/>
    <w:rsid w:val="00CD1B13"/>
    <w:rsid w:val="00CD2467"/>
    <w:rsid w:val="00CD4467"/>
    <w:rsid w:val="00CD4602"/>
    <w:rsid w:val="00CD4DFB"/>
    <w:rsid w:val="00CD4F1D"/>
    <w:rsid w:val="00CD5FE2"/>
    <w:rsid w:val="00CE0A3C"/>
    <w:rsid w:val="00CE0A64"/>
    <w:rsid w:val="00CE1400"/>
    <w:rsid w:val="00CE1AAF"/>
    <w:rsid w:val="00CE2BFA"/>
    <w:rsid w:val="00CE7DF2"/>
    <w:rsid w:val="00CF2312"/>
    <w:rsid w:val="00CF60B5"/>
    <w:rsid w:val="00CF65CC"/>
    <w:rsid w:val="00CF72F4"/>
    <w:rsid w:val="00D0093A"/>
    <w:rsid w:val="00D01356"/>
    <w:rsid w:val="00D02A8C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6F26"/>
    <w:rsid w:val="00D371B3"/>
    <w:rsid w:val="00D43C64"/>
    <w:rsid w:val="00D46037"/>
    <w:rsid w:val="00D46357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2A7E"/>
    <w:rsid w:val="00D6646A"/>
    <w:rsid w:val="00D66893"/>
    <w:rsid w:val="00D7166D"/>
    <w:rsid w:val="00D71C35"/>
    <w:rsid w:val="00D74683"/>
    <w:rsid w:val="00D75E88"/>
    <w:rsid w:val="00D77D17"/>
    <w:rsid w:val="00D80D3B"/>
    <w:rsid w:val="00D82BCB"/>
    <w:rsid w:val="00D82D97"/>
    <w:rsid w:val="00D8339E"/>
    <w:rsid w:val="00D84765"/>
    <w:rsid w:val="00D855DF"/>
    <w:rsid w:val="00D93BF9"/>
    <w:rsid w:val="00D956E1"/>
    <w:rsid w:val="00D9625C"/>
    <w:rsid w:val="00DA151F"/>
    <w:rsid w:val="00DA1AF1"/>
    <w:rsid w:val="00DA2C9F"/>
    <w:rsid w:val="00DA400C"/>
    <w:rsid w:val="00DA7A88"/>
    <w:rsid w:val="00DB0988"/>
    <w:rsid w:val="00DB0DC2"/>
    <w:rsid w:val="00DB1258"/>
    <w:rsid w:val="00DB15B2"/>
    <w:rsid w:val="00DB38F3"/>
    <w:rsid w:val="00DB4230"/>
    <w:rsid w:val="00DB4FAF"/>
    <w:rsid w:val="00DB602D"/>
    <w:rsid w:val="00DC1120"/>
    <w:rsid w:val="00DC53B9"/>
    <w:rsid w:val="00DD024D"/>
    <w:rsid w:val="00DD1BFC"/>
    <w:rsid w:val="00DD1EAE"/>
    <w:rsid w:val="00DD201E"/>
    <w:rsid w:val="00DD3C56"/>
    <w:rsid w:val="00DD40BD"/>
    <w:rsid w:val="00DD447F"/>
    <w:rsid w:val="00DD6ED6"/>
    <w:rsid w:val="00DD719E"/>
    <w:rsid w:val="00DE26C6"/>
    <w:rsid w:val="00DE341F"/>
    <w:rsid w:val="00DE4B44"/>
    <w:rsid w:val="00DE6323"/>
    <w:rsid w:val="00DF01A2"/>
    <w:rsid w:val="00DF248C"/>
    <w:rsid w:val="00DF2CCC"/>
    <w:rsid w:val="00DF6D4E"/>
    <w:rsid w:val="00DF723C"/>
    <w:rsid w:val="00E0151C"/>
    <w:rsid w:val="00E01B9A"/>
    <w:rsid w:val="00E03633"/>
    <w:rsid w:val="00E04715"/>
    <w:rsid w:val="00E104B7"/>
    <w:rsid w:val="00E1127A"/>
    <w:rsid w:val="00E12D9B"/>
    <w:rsid w:val="00E1332A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107"/>
    <w:rsid w:val="00E448E2"/>
    <w:rsid w:val="00E4576E"/>
    <w:rsid w:val="00E474E8"/>
    <w:rsid w:val="00E521F7"/>
    <w:rsid w:val="00E52563"/>
    <w:rsid w:val="00E529EF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2687"/>
    <w:rsid w:val="00E83B4B"/>
    <w:rsid w:val="00E83BB3"/>
    <w:rsid w:val="00E83E02"/>
    <w:rsid w:val="00E8442D"/>
    <w:rsid w:val="00E851E3"/>
    <w:rsid w:val="00E86983"/>
    <w:rsid w:val="00E8767B"/>
    <w:rsid w:val="00E87E5C"/>
    <w:rsid w:val="00E91114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158B"/>
    <w:rsid w:val="00EA567C"/>
    <w:rsid w:val="00EA64A1"/>
    <w:rsid w:val="00EB18D9"/>
    <w:rsid w:val="00EB2758"/>
    <w:rsid w:val="00EB6BE0"/>
    <w:rsid w:val="00EC227A"/>
    <w:rsid w:val="00EC2731"/>
    <w:rsid w:val="00EC2D87"/>
    <w:rsid w:val="00EC2FCD"/>
    <w:rsid w:val="00EC3933"/>
    <w:rsid w:val="00EC4478"/>
    <w:rsid w:val="00EC65A3"/>
    <w:rsid w:val="00ED01AE"/>
    <w:rsid w:val="00ED0699"/>
    <w:rsid w:val="00ED2C5C"/>
    <w:rsid w:val="00ED34A3"/>
    <w:rsid w:val="00ED5A96"/>
    <w:rsid w:val="00ED7C80"/>
    <w:rsid w:val="00EE1193"/>
    <w:rsid w:val="00EE1C34"/>
    <w:rsid w:val="00EE1D22"/>
    <w:rsid w:val="00EE5E43"/>
    <w:rsid w:val="00EF08C5"/>
    <w:rsid w:val="00EF0906"/>
    <w:rsid w:val="00EF3FE2"/>
    <w:rsid w:val="00EF5176"/>
    <w:rsid w:val="00EF669B"/>
    <w:rsid w:val="00EF76C7"/>
    <w:rsid w:val="00F006D1"/>
    <w:rsid w:val="00F019C8"/>
    <w:rsid w:val="00F0276A"/>
    <w:rsid w:val="00F02A74"/>
    <w:rsid w:val="00F02DC9"/>
    <w:rsid w:val="00F02E93"/>
    <w:rsid w:val="00F0515B"/>
    <w:rsid w:val="00F06641"/>
    <w:rsid w:val="00F06667"/>
    <w:rsid w:val="00F06AF6"/>
    <w:rsid w:val="00F06DC4"/>
    <w:rsid w:val="00F076E0"/>
    <w:rsid w:val="00F0798D"/>
    <w:rsid w:val="00F07CF8"/>
    <w:rsid w:val="00F10C91"/>
    <w:rsid w:val="00F1448F"/>
    <w:rsid w:val="00F17569"/>
    <w:rsid w:val="00F21282"/>
    <w:rsid w:val="00F213E9"/>
    <w:rsid w:val="00F23924"/>
    <w:rsid w:val="00F23B64"/>
    <w:rsid w:val="00F278B1"/>
    <w:rsid w:val="00F310F7"/>
    <w:rsid w:val="00F314C7"/>
    <w:rsid w:val="00F330B0"/>
    <w:rsid w:val="00F3344A"/>
    <w:rsid w:val="00F33775"/>
    <w:rsid w:val="00F337A5"/>
    <w:rsid w:val="00F338B6"/>
    <w:rsid w:val="00F346D4"/>
    <w:rsid w:val="00F34B84"/>
    <w:rsid w:val="00F35AC7"/>
    <w:rsid w:val="00F35CBA"/>
    <w:rsid w:val="00F36AE4"/>
    <w:rsid w:val="00F40BC4"/>
    <w:rsid w:val="00F40E01"/>
    <w:rsid w:val="00F42050"/>
    <w:rsid w:val="00F434C5"/>
    <w:rsid w:val="00F43A7E"/>
    <w:rsid w:val="00F474EC"/>
    <w:rsid w:val="00F51E2F"/>
    <w:rsid w:val="00F5392C"/>
    <w:rsid w:val="00F53C3C"/>
    <w:rsid w:val="00F60C23"/>
    <w:rsid w:val="00F60DC5"/>
    <w:rsid w:val="00F62FF1"/>
    <w:rsid w:val="00F631D8"/>
    <w:rsid w:val="00F64CE9"/>
    <w:rsid w:val="00F64FD4"/>
    <w:rsid w:val="00F65A51"/>
    <w:rsid w:val="00F65FDC"/>
    <w:rsid w:val="00F70FBD"/>
    <w:rsid w:val="00F74091"/>
    <w:rsid w:val="00F76CBF"/>
    <w:rsid w:val="00F8108F"/>
    <w:rsid w:val="00F84569"/>
    <w:rsid w:val="00F84A7C"/>
    <w:rsid w:val="00F84D68"/>
    <w:rsid w:val="00F864D5"/>
    <w:rsid w:val="00F86B5B"/>
    <w:rsid w:val="00F879C9"/>
    <w:rsid w:val="00F903D9"/>
    <w:rsid w:val="00F932DA"/>
    <w:rsid w:val="00F977F5"/>
    <w:rsid w:val="00FA073B"/>
    <w:rsid w:val="00FA1C5D"/>
    <w:rsid w:val="00FA32B8"/>
    <w:rsid w:val="00FA56D9"/>
    <w:rsid w:val="00FB3ADC"/>
    <w:rsid w:val="00FB7D4A"/>
    <w:rsid w:val="00FC4589"/>
    <w:rsid w:val="00FC609F"/>
    <w:rsid w:val="00FC79B0"/>
    <w:rsid w:val="00FD1CDF"/>
    <w:rsid w:val="00FD1D11"/>
    <w:rsid w:val="00FD26DB"/>
    <w:rsid w:val="00FD5100"/>
    <w:rsid w:val="00FD7720"/>
    <w:rsid w:val="00FE0051"/>
    <w:rsid w:val="00FE5EF5"/>
    <w:rsid w:val="00FE7B45"/>
    <w:rsid w:val="00FF0DD8"/>
    <w:rsid w:val="00FF0F70"/>
    <w:rsid w:val="00FF12EC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927B1"/>
  <w15:docId w15:val="{D263DF1D-A220-4782-BEE5-AA55477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F1F38"/>
    <w:pPr>
      <w:keepNext/>
      <w:spacing w:after="60"/>
      <w:outlineLvl w:val="0"/>
    </w:pPr>
    <w:rPr>
      <w:rFonts w:cs="Arial"/>
      <w:bCs/>
      <w:color w:val="FFB81C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AF1F38"/>
    <w:pPr>
      <w:keepNext/>
      <w:spacing w:before="240" w:after="60"/>
      <w:outlineLvl w:val="1"/>
    </w:pPr>
    <w:rPr>
      <w:rFonts w:cs="Arial"/>
      <w:b/>
      <w:bCs/>
      <w:iCs/>
      <w:color w:val="FFB81C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AF1F38"/>
    <w:pPr>
      <w:keepNext/>
      <w:spacing w:before="240" w:after="60"/>
      <w:outlineLvl w:val="2"/>
    </w:pPr>
    <w:rPr>
      <w:rFonts w:cs="Arial"/>
      <w:bCs/>
      <w:color w:val="FFB81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1"/>
      </w:numPr>
      <w:tabs>
        <w:tab w:val="clear" w:pos="227"/>
        <w:tab w:val="num" w:pos="360"/>
      </w:tabs>
      <w:spacing w:after="80"/>
      <w:ind w:left="0" w:firstLine="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1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D024D"/>
    <w:rPr>
      <w:b/>
      <w:bCs/>
    </w:rPr>
  </w:style>
  <w:style w:type="paragraph" w:styleId="ListBullet">
    <w:name w:val="List Bullet"/>
    <w:basedOn w:val="Normal"/>
    <w:rsid w:val="00B50CEC"/>
    <w:pPr>
      <w:numPr>
        <w:numId w:val="2"/>
      </w:numPr>
      <w:contextualSpacing/>
    </w:pPr>
  </w:style>
  <w:style w:type="paragraph" w:styleId="ListParagraph">
    <w:name w:val="List Paragraph"/>
    <w:aliases w:val="standard lewis,Recommendation,List Paragraph1,List Paragraph11,Content descriptions,L"/>
    <w:basedOn w:val="Normal"/>
    <w:link w:val="ListParagraphChar"/>
    <w:uiPriority w:val="34"/>
    <w:qFormat/>
    <w:rsid w:val="00B50CEC"/>
    <w:pPr>
      <w:spacing w:before="0" w:after="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ListParagraphChar">
    <w:name w:val="List Paragraph Char"/>
    <w:aliases w:val="standard lewis Char,Recommendation Char,List Paragraph1 Char,List Paragraph11 Char,Content descriptions Char,L Char"/>
    <w:link w:val="ListParagraph"/>
    <w:uiPriority w:val="34"/>
    <w:locked/>
    <w:rsid w:val="00B50CEC"/>
    <w:rPr>
      <w:rFonts w:ascii="Arial" w:eastAsiaTheme="minorHAnsi" w:hAnsi="Arial" w:cstheme="minorBidi"/>
      <w:szCs w:val="22"/>
      <w:lang w:eastAsia="en-US"/>
    </w:rPr>
  </w:style>
  <w:style w:type="character" w:styleId="FollowedHyperlink">
    <w:name w:val="FollowedHyperlink"/>
    <w:basedOn w:val="DefaultParagraphFont"/>
    <w:rsid w:val="00A33B7C"/>
    <w:rPr>
      <w:color w:val="800080" w:themeColor="followedHyperlink"/>
      <w:u w:val="single"/>
    </w:rPr>
  </w:style>
  <w:style w:type="paragraph" w:customStyle="1" w:styleId="Default">
    <w:name w:val="Default"/>
    <w:rsid w:val="006864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D026C"/>
    <w:rPr>
      <w:rFonts w:ascii="Arial" w:hAnsi="Arial" w:cs="Arial"/>
      <w:bCs/>
      <w:color w:val="FFB81C"/>
      <w:sz w:val="28"/>
      <w:szCs w:val="26"/>
    </w:rPr>
  </w:style>
  <w:style w:type="table" w:styleId="TableGrid">
    <w:name w:val="Table Grid"/>
    <w:basedOn w:val="TableNormal"/>
    <w:rsid w:val="00DA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C2731"/>
    <w:rPr>
      <w:rFonts w:ascii="Arial" w:hAnsi="Arial" w:cs="Arial"/>
      <w:b/>
      <w:bCs/>
      <w:iCs/>
      <w:color w:val="FFB81C"/>
      <w:sz w:val="32"/>
      <w:szCs w:val="28"/>
    </w:rPr>
  </w:style>
  <w:style w:type="paragraph" w:customStyle="1" w:styleId="BodyText0">
    <w:name w:val="_BodyText"/>
    <w:link w:val="BodyTextChar0"/>
    <w:qFormat/>
    <w:rsid w:val="00EC2731"/>
    <w:pPr>
      <w:spacing w:after="120" w:line="300" w:lineRule="atLeast"/>
    </w:pPr>
    <w:rPr>
      <w:rFonts w:asciiTheme="minorHAnsi" w:hAnsiTheme="minorHAnsi"/>
      <w:sz w:val="21"/>
      <w:szCs w:val="24"/>
      <w:lang w:eastAsia="en-US"/>
    </w:rPr>
  </w:style>
  <w:style w:type="character" w:customStyle="1" w:styleId="BodyTextChar0">
    <w:name w:val="_BodyText Char"/>
    <w:basedOn w:val="DefaultParagraphFont"/>
    <w:link w:val="BodyText0"/>
    <w:rsid w:val="00EC2731"/>
    <w:rPr>
      <w:rFonts w:asciiTheme="minorHAnsi" w:hAnsiTheme="minorHAnsi"/>
      <w:sz w:val="21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5B49"/>
    <w:rPr>
      <w:rFonts w:ascii="Arial" w:hAnsi="Arial"/>
      <w:b/>
      <w:color w:val="00778B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59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stBullet1">
    <w:name w:val="List Bullet1"/>
    <w:basedOn w:val="Normal"/>
    <w:uiPriority w:val="1"/>
    <w:qFormat/>
    <w:rsid w:val="000B0B8C"/>
    <w:pPr>
      <w:numPr>
        <w:numId w:val="3"/>
      </w:numPr>
      <w:spacing w:before="20" w:after="0" w:line="260" w:lineRule="atLeast"/>
    </w:pPr>
    <w:rPr>
      <w:sz w:val="22"/>
      <w:szCs w:val="20"/>
      <w:lang w:val="en-US" w:eastAsia="en-US"/>
    </w:rPr>
  </w:style>
  <w:style w:type="paragraph" w:customStyle="1" w:styleId="ListNumber1">
    <w:name w:val="List Number1"/>
    <w:basedOn w:val="ListBullet1"/>
    <w:uiPriority w:val="2"/>
    <w:qFormat/>
    <w:rsid w:val="00A55A46"/>
    <w:pPr>
      <w:keepNext/>
      <w:numPr>
        <w:numId w:val="4"/>
      </w:numPr>
    </w:pPr>
  </w:style>
  <w:style w:type="paragraph" w:customStyle="1" w:styleId="Coremessagetext">
    <w:name w:val="Core message text"/>
    <w:basedOn w:val="BodyText"/>
    <w:uiPriority w:val="7"/>
    <w:qFormat/>
    <w:rsid w:val="00A55A46"/>
    <w:pPr>
      <w:spacing w:before="80" w:after="80"/>
    </w:pPr>
    <w:rPr>
      <w:rFonts w:cs="Times New Roman"/>
    </w:rPr>
  </w:style>
  <w:style w:type="paragraph" w:styleId="Title">
    <w:name w:val="Title"/>
    <w:basedOn w:val="Header"/>
    <w:next w:val="Normal"/>
    <w:link w:val="TitleChar"/>
    <w:uiPriority w:val="10"/>
    <w:qFormat/>
    <w:rsid w:val="00A55A46"/>
    <w:pPr>
      <w:tabs>
        <w:tab w:val="clear" w:pos="4153"/>
        <w:tab w:val="clear" w:pos="8306"/>
        <w:tab w:val="center" w:pos="4320"/>
        <w:tab w:val="right" w:pos="8640"/>
      </w:tabs>
      <w:spacing w:before="0" w:after="120"/>
    </w:pPr>
    <w:rPr>
      <w:color w:val="002664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5A46"/>
    <w:rPr>
      <w:rFonts w:ascii="Arial" w:hAnsi="Arial"/>
      <w:color w:val="002664"/>
      <w:sz w:val="36"/>
      <w:szCs w:val="36"/>
      <w:lang w:eastAsia="en-US"/>
    </w:rPr>
  </w:style>
  <w:style w:type="paragraph" w:customStyle="1" w:styleId="Tableheading">
    <w:name w:val="Table heading"/>
    <w:basedOn w:val="BodyText"/>
    <w:uiPriority w:val="8"/>
    <w:qFormat/>
    <w:rsid w:val="00A55A46"/>
    <w:pPr>
      <w:keepNext/>
      <w:spacing w:before="60" w:after="60" w:line="240" w:lineRule="auto"/>
    </w:pPr>
    <w:rPr>
      <w:rFonts w:cs="Times New Roman"/>
      <w:b/>
      <w:sz w:val="20"/>
      <w:szCs w:val="20"/>
    </w:rPr>
  </w:style>
  <w:style w:type="paragraph" w:customStyle="1" w:styleId="Tabletext">
    <w:name w:val="Table text"/>
    <w:basedOn w:val="BodyText"/>
    <w:uiPriority w:val="9"/>
    <w:qFormat/>
    <w:rsid w:val="00A55A46"/>
    <w:pPr>
      <w:spacing w:before="60" w:after="60"/>
    </w:pPr>
    <w:rPr>
      <w:rFonts w:cs="Times New Roman"/>
      <w:sz w:val="20"/>
      <w:szCs w:val="20"/>
    </w:rPr>
  </w:style>
  <w:style w:type="table" w:customStyle="1" w:styleId="FACStable">
    <w:name w:val="FACS table"/>
    <w:basedOn w:val="TableNormal"/>
    <w:uiPriority w:val="99"/>
    <w:rsid w:val="00A55A46"/>
    <w:pPr>
      <w:spacing w:before="60" w:after="60" w:line="240" w:lineRule="atLeast"/>
    </w:pPr>
    <w:rPr>
      <w:rFonts w:ascii="Arial" w:eastAsia="MS PMincho" w:hAnsi="Arial"/>
    </w:rPr>
    <w:tblPr>
      <w:tblBorders>
        <w:insideH w:val="single" w:sz="4" w:space="0" w:color="52CEFF"/>
        <w:insideV w:val="single" w:sz="4" w:space="0" w:color="52CEFF"/>
      </w:tblBorders>
    </w:tblPr>
    <w:tcPr>
      <w:shd w:val="clear" w:color="auto" w:fill="auto"/>
    </w:tcPr>
    <w:tblStylePr w:type="firstRow">
      <w:rPr>
        <w:rFonts w:ascii="Courier New" w:hAnsi="Courier New"/>
        <w:b w:val="0"/>
        <w:i w:val="0"/>
        <w:sz w:val="20"/>
      </w:rPr>
      <w:tblPr/>
      <w:tcPr>
        <w:shd w:val="clear" w:color="auto" w:fill="C5EE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download?file=641608" TargetMode="External"/><Relationship Id="rId13" Type="http://schemas.openxmlformats.org/officeDocument/2006/relationships/hyperlink" Target="mailto:TEIReform@facs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s.nsw.gov.au/providers/children-families/early-intervention/faq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download?file=64159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s.nsw.gov.au/download?file=641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providers/children-families/early-intervention/tei-inform/previous-issues/targeted-earlier-intervention-program-reform-newsletter-edition-37/chapters/dex-fact-sheet-and-training-schedu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24FD-2667-4E36-BFFA-E145C3A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 Provider-Led TEI Pathways</vt:lpstr>
    </vt:vector>
  </TitlesOfParts>
  <Company>Department of Family &amp; Community Services</Company>
  <LinksUpToDate>false</LinksUpToDate>
  <CharactersWithSpaces>6218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 Provider-Led TEI Pathways</dc:title>
  <dc:creator>Laura Yan Guo</dc:creator>
  <cp:lastModifiedBy>Erwin Kasman</cp:lastModifiedBy>
  <cp:revision>2</cp:revision>
  <cp:lastPrinted>2017-02-28T22:23:00Z</cp:lastPrinted>
  <dcterms:created xsi:type="dcterms:W3CDTF">2019-07-09T04:05:00Z</dcterms:created>
  <dcterms:modified xsi:type="dcterms:W3CDTF">2019-07-09T04:05:00Z</dcterms:modified>
</cp:coreProperties>
</file>