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FB94" w14:textId="77777777" w:rsidR="00BB7B6A" w:rsidRDefault="00260C5E" w:rsidP="003542BD">
      <w:pPr>
        <w:pStyle w:val="Title"/>
        <w:spacing w:before="120"/>
        <w:rPr>
          <w:rFonts w:ascii="Arial" w:hAnsi="Arial" w:cs="Arial"/>
          <w:b/>
          <w:i/>
          <w:color w:val="FFFFFF" w:themeColor="background1"/>
          <w:sz w:val="44"/>
          <w:lang w:val="en-US"/>
        </w:rPr>
      </w:pPr>
      <w:r>
        <w:rPr>
          <w:rFonts w:ascii="Arial" w:hAnsi="Arial" w:cs="Arial"/>
          <w:b/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E028B" wp14:editId="23F4742D">
                <wp:simplePos x="0" y="0"/>
                <wp:positionH relativeFrom="margin">
                  <wp:posOffset>5705061</wp:posOffset>
                </wp:positionH>
                <wp:positionV relativeFrom="paragraph">
                  <wp:posOffset>137712</wp:posOffset>
                </wp:positionV>
                <wp:extent cx="1285875" cy="1247775"/>
                <wp:effectExtent l="571500" t="19050" r="47625" b="1809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47775"/>
                        </a:xfrm>
                        <a:prstGeom prst="wedgeEllipseCallout">
                          <a:avLst>
                            <a:gd name="adj1" fmla="val -91278"/>
                            <a:gd name="adj2" fmla="val 5895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4715" w14:textId="77777777" w:rsidR="00BB7B6A" w:rsidRPr="00E75347" w:rsidRDefault="00BB7B6A" w:rsidP="00BB7B6A">
                            <w:pPr>
                              <w:jc w:val="center"/>
                              <w:rPr>
                                <w:rFonts w:ascii="Arial Narrow" w:hAnsi="Arial Narrow"/>
                                <w:szCs w:val="16"/>
                              </w:rPr>
                            </w:pPr>
                            <w:r w:rsidRPr="00E75347">
                              <w:rPr>
                                <w:rFonts w:ascii="Arial Narrow" w:hAnsi="Arial Narrow" w:cs="Arial"/>
                                <w:szCs w:val="16"/>
                              </w:rPr>
                              <w:t>This tool groups DEX resources so they’re easier to find</w:t>
                            </w:r>
                          </w:p>
                          <w:p w14:paraId="3AD7D70E" w14:textId="77777777" w:rsidR="00BB7B6A" w:rsidRPr="00E75347" w:rsidRDefault="00BB7B6A" w:rsidP="00BB7B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028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449.2pt;margin-top:10.85pt;width:101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" adj="-8916,23535" fillcolor="white [3201]" strokecolor="red" strokeweight="1pt">
                <v:textbox>
                  <w:txbxContent>
                    <w:p w14:paraId="4F744715" w14:textId="77777777" w:rsidR="00BB7B6A" w:rsidRPr="00E75347" w:rsidRDefault="00BB7B6A" w:rsidP="00BB7B6A">
                      <w:pPr>
                        <w:jc w:val="center"/>
                        <w:rPr>
                          <w:rFonts w:ascii="Arial Narrow" w:hAnsi="Arial Narrow"/>
                          <w:szCs w:val="16"/>
                        </w:rPr>
                      </w:pPr>
                      <w:r w:rsidRPr="00E75347">
                        <w:rPr>
                          <w:rFonts w:ascii="Arial Narrow" w:hAnsi="Arial Narrow" w:cs="Arial"/>
                          <w:szCs w:val="16"/>
                        </w:rPr>
                        <w:t>This tool groups DEX resources so they’re easier to find</w:t>
                      </w:r>
                    </w:p>
                    <w:p w14:paraId="3AD7D70E" w14:textId="77777777" w:rsidR="00BB7B6A" w:rsidRPr="00E75347" w:rsidRDefault="00BB7B6A" w:rsidP="00BB7B6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E7E" w:rsidRPr="00D57A1B">
        <w:rPr>
          <w:rFonts w:ascii="Arial" w:hAnsi="Arial" w:cs="Arial"/>
          <w:b/>
          <w:i/>
          <w:noProof/>
          <w:color w:val="FFFFFF" w:themeColor="background1"/>
          <w:sz w:val="4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9A87A" wp14:editId="17615120">
                <wp:simplePos x="0" y="0"/>
                <wp:positionH relativeFrom="page">
                  <wp:align>left</wp:align>
                </wp:positionH>
                <wp:positionV relativeFrom="paragraph">
                  <wp:posOffset>-447040</wp:posOffset>
                </wp:positionV>
                <wp:extent cx="7562850" cy="2228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28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5054" id="Rectangle 1" o:spid="_x0000_s1026" style="position:absolute;margin-left:0;margin-top:-35.2pt;width:595.5pt;height:175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" fillcolor="#4472c4 [3208]" stroked="f" strokeweight="1pt">
                <w10:wrap anchorx="page"/>
              </v:rect>
            </w:pict>
          </mc:Fallback>
        </mc:AlternateContent>
      </w:r>
      <w:r w:rsidR="0002783D" w:rsidRPr="00D57A1B">
        <w:rPr>
          <w:rFonts w:ascii="Arial" w:hAnsi="Arial" w:cs="Arial"/>
          <w:b/>
          <w:i/>
          <w:noProof/>
          <w:color w:val="FFFFFF" w:themeColor="background1"/>
          <w:sz w:val="44"/>
          <w:lang w:eastAsia="en-AU"/>
        </w:rPr>
        <w:drawing>
          <wp:anchor distT="0" distB="0" distL="114300" distR="114300" simplePos="0" relativeHeight="251661312" behindDoc="1" locked="0" layoutInCell="1" allowOverlap="1" wp14:anchorId="0B71F565" wp14:editId="2DDFE315">
            <wp:simplePos x="0" y="0"/>
            <wp:positionH relativeFrom="margin">
              <wp:align>left</wp:align>
            </wp:positionH>
            <wp:positionV relativeFrom="paragraph">
              <wp:posOffset>78759</wp:posOffset>
            </wp:positionV>
            <wp:extent cx="876300" cy="262890"/>
            <wp:effectExtent l="0" t="0" r="0" b="3810"/>
            <wp:wrapTight wrapText="bothSides">
              <wp:wrapPolygon edited="0">
                <wp:start x="470" y="0"/>
                <wp:lineTo x="0" y="4696"/>
                <wp:lineTo x="0" y="20348"/>
                <wp:lineTo x="17374" y="20348"/>
                <wp:lineTo x="21130" y="15652"/>
                <wp:lineTo x="21130" y="7826"/>
                <wp:lineTo x="8452" y="0"/>
                <wp:lineTo x="4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ties-and-Justice-2-col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8F" w:rsidRPr="00D57A1B">
        <w:rPr>
          <w:rFonts w:ascii="Arial" w:hAnsi="Arial" w:cs="Arial"/>
          <w:b/>
          <w:i/>
          <w:color w:val="FFFFFF" w:themeColor="background1"/>
          <w:sz w:val="44"/>
          <w:lang w:val="en-US"/>
        </w:rPr>
        <w:t xml:space="preserve"> </w:t>
      </w:r>
    </w:p>
    <w:p w14:paraId="3CBE5FE4" w14:textId="77777777" w:rsidR="00A92ED6" w:rsidRDefault="002C7994" w:rsidP="003542BD">
      <w:pPr>
        <w:pStyle w:val="Title"/>
        <w:spacing w:before="120"/>
        <w:rPr>
          <w:rFonts w:ascii="Arial" w:hAnsi="Arial" w:cs="Arial"/>
          <w:color w:val="FFFFFF" w:themeColor="background1"/>
          <w:sz w:val="44"/>
          <w:lang w:val="en-US"/>
        </w:rPr>
      </w:pPr>
      <w:proofErr w:type="spellStart"/>
      <w:r w:rsidRPr="00D57A1B">
        <w:rPr>
          <w:rFonts w:ascii="Arial" w:hAnsi="Arial" w:cs="Arial"/>
          <w:b/>
          <w:i/>
          <w:color w:val="FFFFFF" w:themeColor="background1"/>
          <w:sz w:val="44"/>
          <w:lang w:val="en-US"/>
        </w:rPr>
        <w:t>In</w:t>
      </w:r>
      <w:r w:rsidRPr="0002783D">
        <w:rPr>
          <w:rFonts w:ascii="Arial" w:hAnsi="Arial" w:cs="Arial"/>
          <w:b/>
          <w:color w:val="FFFFFF" w:themeColor="background1"/>
          <w:sz w:val="44"/>
          <w:lang w:val="en-US"/>
        </w:rPr>
        <w:t>DEX</w:t>
      </w:r>
      <w:proofErr w:type="spellEnd"/>
      <w:r w:rsidRPr="00D57A1B">
        <w:rPr>
          <w:rFonts w:ascii="Arial" w:hAnsi="Arial" w:cs="Arial"/>
          <w:i/>
          <w:color w:val="FFFFFF" w:themeColor="background1"/>
          <w:sz w:val="44"/>
          <w:lang w:val="en-US"/>
        </w:rPr>
        <w:t xml:space="preserve"> – </w:t>
      </w:r>
      <w:r w:rsidRPr="00D57A1B">
        <w:rPr>
          <w:rFonts w:ascii="Arial" w:hAnsi="Arial" w:cs="Arial"/>
          <w:color w:val="FFFFFF" w:themeColor="background1"/>
          <w:sz w:val="44"/>
          <w:lang w:val="en-US"/>
        </w:rPr>
        <w:t xml:space="preserve">A handy index of </w:t>
      </w:r>
    </w:p>
    <w:p w14:paraId="6E7182DF" w14:textId="77777777" w:rsidR="00A92ED6" w:rsidRDefault="00A92ED6" w:rsidP="003542BD">
      <w:pPr>
        <w:pStyle w:val="Title"/>
        <w:spacing w:before="120"/>
        <w:rPr>
          <w:rFonts w:ascii="Arial" w:hAnsi="Arial" w:cs="Arial"/>
          <w:color w:val="FFFFFF" w:themeColor="background1"/>
          <w:sz w:val="44"/>
          <w:lang w:val="en-US"/>
        </w:rPr>
      </w:pPr>
      <w:r>
        <w:rPr>
          <w:rFonts w:ascii="Arial" w:hAnsi="Arial" w:cs="Arial"/>
          <w:color w:val="FFFFFF" w:themeColor="background1"/>
          <w:sz w:val="44"/>
          <w:lang w:val="en-US"/>
        </w:rPr>
        <w:t>Data Exchange (</w:t>
      </w:r>
      <w:r w:rsidR="00923D78" w:rsidRPr="00D57A1B">
        <w:rPr>
          <w:rFonts w:ascii="Arial" w:hAnsi="Arial" w:cs="Arial"/>
          <w:color w:val="FFFFFF" w:themeColor="background1"/>
          <w:sz w:val="44"/>
          <w:lang w:val="en-US"/>
        </w:rPr>
        <w:t>DEX</w:t>
      </w:r>
      <w:r>
        <w:rPr>
          <w:rFonts w:ascii="Arial" w:hAnsi="Arial" w:cs="Arial"/>
          <w:color w:val="FFFFFF" w:themeColor="background1"/>
          <w:sz w:val="44"/>
          <w:lang w:val="en-US"/>
        </w:rPr>
        <w:t>)</w:t>
      </w:r>
      <w:r w:rsidR="00923D78" w:rsidRPr="00D57A1B">
        <w:rPr>
          <w:rFonts w:ascii="Arial" w:hAnsi="Arial" w:cs="Arial"/>
          <w:color w:val="FFFFFF" w:themeColor="background1"/>
          <w:sz w:val="44"/>
          <w:lang w:val="en-US"/>
        </w:rPr>
        <w:t xml:space="preserve"> </w:t>
      </w:r>
      <w:r w:rsidR="00BA3F8F" w:rsidRPr="00D57A1B">
        <w:rPr>
          <w:rFonts w:ascii="Arial" w:hAnsi="Arial" w:cs="Arial"/>
          <w:color w:val="FFFFFF" w:themeColor="background1"/>
          <w:sz w:val="44"/>
          <w:lang w:val="en-US"/>
        </w:rPr>
        <w:t>r</w:t>
      </w:r>
      <w:r w:rsidR="00676E88" w:rsidRPr="00D57A1B">
        <w:rPr>
          <w:rFonts w:ascii="Arial" w:hAnsi="Arial" w:cs="Arial"/>
          <w:color w:val="FFFFFF" w:themeColor="background1"/>
          <w:sz w:val="44"/>
          <w:lang w:val="en-US"/>
        </w:rPr>
        <w:t>esources</w:t>
      </w:r>
      <w:r w:rsidR="00BF40B1">
        <w:rPr>
          <w:rFonts w:ascii="Arial" w:hAnsi="Arial" w:cs="Arial"/>
          <w:color w:val="FFFFFF" w:themeColor="background1"/>
          <w:sz w:val="44"/>
          <w:lang w:val="en-US"/>
        </w:rPr>
        <w:t xml:space="preserve"> for the </w:t>
      </w:r>
    </w:p>
    <w:p w14:paraId="13B68513" w14:textId="77777777" w:rsidR="00BA3F8F" w:rsidRPr="00D57A1B" w:rsidRDefault="00BF40B1" w:rsidP="003542BD">
      <w:pPr>
        <w:pStyle w:val="Title"/>
        <w:spacing w:before="120"/>
        <w:rPr>
          <w:rFonts w:ascii="Arial" w:hAnsi="Arial" w:cs="Arial"/>
          <w:color w:val="FFFFFF" w:themeColor="background1"/>
          <w:sz w:val="44"/>
          <w:lang w:val="en-US"/>
        </w:rPr>
      </w:pPr>
      <w:r>
        <w:rPr>
          <w:rFonts w:ascii="Arial" w:hAnsi="Arial" w:cs="Arial"/>
          <w:color w:val="FFFFFF" w:themeColor="background1"/>
          <w:sz w:val="44"/>
          <w:lang w:val="en-US"/>
        </w:rPr>
        <w:t xml:space="preserve">Targeted Earlier Intervention </w:t>
      </w:r>
      <w:r w:rsidR="00A92ED6">
        <w:rPr>
          <w:rFonts w:ascii="Arial" w:hAnsi="Arial" w:cs="Arial"/>
          <w:color w:val="FFFFFF" w:themeColor="background1"/>
          <w:sz w:val="44"/>
          <w:lang w:val="en-US"/>
        </w:rPr>
        <w:t xml:space="preserve">(TEI) </w:t>
      </w:r>
      <w:r>
        <w:rPr>
          <w:rFonts w:ascii="Arial" w:hAnsi="Arial" w:cs="Arial"/>
          <w:color w:val="FFFFFF" w:themeColor="background1"/>
          <w:sz w:val="44"/>
          <w:lang w:val="en-US"/>
        </w:rPr>
        <w:t>program</w:t>
      </w:r>
    </w:p>
    <w:p w14:paraId="5C1BD848" w14:textId="77777777" w:rsidR="0002783D" w:rsidRDefault="0002783D" w:rsidP="0002783D">
      <w:pPr>
        <w:pStyle w:val="Title"/>
        <w:spacing w:before="120"/>
        <w:rPr>
          <w:rFonts w:ascii="Arial" w:hAnsi="Arial" w:cs="Arial"/>
          <w:color w:val="FFFFFF" w:themeColor="background1"/>
          <w:sz w:val="20"/>
          <w:szCs w:val="20"/>
          <w:lang w:val="en-US"/>
        </w:rPr>
      </w:pPr>
    </w:p>
    <w:p w14:paraId="33452CB5" w14:textId="77777777" w:rsidR="002624F8" w:rsidRPr="0002783D" w:rsidRDefault="002C7994" w:rsidP="0002783D">
      <w:pPr>
        <w:pStyle w:val="Title"/>
        <w:spacing w:before="120"/>
        <w:rPr>
          <w:rFonts w:ascii="Arial" w:hAnsi="Arial" w:cs="Arial"/>
          <w:color w:val="FFFFFF" w:themeColor="background1"/>
          <w:sz w:val="20"/>
          <w:szCs w:val="20"/>
          <w:lang w:val="en-US"/>
        </w:rPr>
      </w:pPr>
      <w:r w:rsidRPr="00D57A1B">
        <w:rPr>
          <w:rFonts w:ascii="Arial" w:hAnsi="Arial" w:cs="Arial"/>
          <w:color w:val="FFFFFF" w:themeColor="background1"/>
          <w:sz w:val="20"/>
          <w:szCs w:val="20"/>
          <w:lang w:val="en-US"/>
        </w:rPr>
        <w:t>(</w:t>
      </w:r>
      <w:r w:rsidR="00A92ED6">
        <w:rPr>
          <w:rFonts w:ascii="Arial" w:hAnsi="Arial" w:cs="Arial"/>
          <w:color w:val="FFFFFF" w:themeColor="background1"/>
          <w:sz w:val="20"/>
          <w:szCs w:val="20"/>
          <w:lang w:val="en-US"/>
        </w:rPr>
        <w:t>DECEM</w:t>
      </w:r>
      <w:r w:rsidR="00BA3F8F" w:rsidRPr="00D57A1B">
        <w:rPr>
          <w:rFonts w:ascii="Arial" w:hAnsi="Arial" w:cs="Arial"/>
          <w:color w:val="FFFFFF" w:themeColor="background1"/>
          <w:sz w:val="20"/>
          <w:szCs w:val="20"/>
          <w:lang w:val="en-US"/>
        </w:rPr>
        <w:t>BER</w:t>
      </w:r>
      <w:r w:rsidRPr="00D57A1B">
        <w:rPr>
          <w:rFonts w:ascii="Arial" w:hAnsi="Arial" w:cs="Arial"/>
          <w:color w:val="FFFFFF" w:themeColor="background1"/>
          <w:sz w:val="20"/>
          <w:szCs w:val="20"/>
          <w:lang w:val="en-US"/>
        </w:rPr>
        <w:t xml:space="preserve"> 2021)</w:t>
      </w:r>
    </w:p>
    <w:p w14:paraId="7FD0DA77" w14:textId="77777777" w:rsidR="00A921A6" w:rsidRPr="00D57A1B" w:rsidRDefault="003542BD" w:rsidP="00BA3F8F">
      <w:pPr>
        <w:spacing w:before="120"/>
        <w:jc w:val="center"/>
        <w:rPr>
          <w:rFonts w:ascii="Arial" w:hAnsi="Arial" w:cs="Arial"/>
          <w:color w:val="FFFFFF" w:themeColor="background1"/>
        </w:rPr>
      </w:pPr>
      <w:r w:rsidRPr="00D57A1B">
        <w:rPr>
          <w:rFonts w:ascii="Arial" w:hAnsi="Arial" w:cs="Arial"/>
          <w:color w:val="FFFFFF" w:themeColor="background1"/>
        </w:rPr>
        <w:t>.</w:t>
      </w:r>
    </w:p>
    <w:p w14:paraId="0A5A08B6" w14:textId="77777777" w:rsidR="002624F8" w:rsidRPr="00D57A1B" w:rsidRDefault="002624F8" w:rsidP="002624F8">
      <w:pPr>
        <w:pStyle w:val="BodyText"/>
        <w:rPr>
          <w:rFonts w:cs="Arial"/>
        </w:rPr>
      </w:pPr>
    </w:p>
    <w:tbl>
      <w:tblPr>
        <w:tblStyle w:val="GridTable6Colorful-Accent1"/>
        <w:tblW w:w="11908" w:type="dxa"/>
        <w:tblInd w:w="-714" w:type="dxa"/>
        <w:tblLook w:val="04A0" w:firstRow="1" w:lastRow="0" w:firstColumn="1" w:lastColumn="0" w:noHBand="0" w:noVBand="1"/>
      </w:tblPr>
      <w:tblGrid>
        <w:gridCol w:w="2410"/>
        <w:gridCol w:w="9498"/>
      </w:tblGrid>
      <w:tr w:rsidR="00054B83" w:rsidRPr="00D57A1B" w14:paraId="4AE056AB" w14:textId="77777777" w:rsidTr="00685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0CDCCC" w14:textId="77777777" w:rsidR="00054B83" w:rsidRPr="009364F9" w:rsidRDefault="00054B83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About DEX</w:t>
            </w:r>
          </w:p>
        </w:tc>
        <w:tc>
          <w:tcPr>
            <w:tcW w:w="9498" w:type="dxa"/>
            <w:vAlign w:val="center"/>
          </w:tcPr>
          <w:p w14:paraId="777F5E2A" w14:textId="77777777" w:rsidR="00054B83" w:rsidRPr="003B17FB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hyperlink r:id="rId8" w:history="1">
              <w:r w:rsidR="00054B83" w:rsidRPr="003B17FB">
                <w:rPr>
                  <w:rStyle w:val="Hyperlink"/>
                  <w:rFonts w:ascii="Arial" w:hAnsi="Arial" w:cs="Arial"/>
                  <w:b w:val="0"/>
                  <w:sz w:val="14"/>
                  <w:szCs w:val="14"/>
                </w:rPr>
                <w:t>Data Exchange Protocols</w:t>
              </w:r>
            </w:hyperlink>
          </w:p>
          <w:p w14:paraId="6C4C6C36" w14:textId="77777777" w:rsidR="00054B83" w:rsidRPr="003B17FB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hyperlink r:id="rId9" w:history="1">
              <w:r w:rsidR="00054B83" w:rsidRPr="003B17FB">
                <w:rPr>
                  <w:rStyle w:val="Hyperlink"/>
                  <w:rFonts w:ascii="Arial" w:hAnsi="Arial" w:cs="Arial"/>
                  <w:b w:val="0"/>
                  <w:sz w:val="14"/>
                  <w:szCs w:val="14"/>
                </w:rPr>
                <w:t>Program specific guidance for State Agencies in the Data Exchange</w:t>
              </w:r>
            </w:hyperlink>
          </w:p>
        </w:tc>
      </w:tr>
      <w:tr w:rsidR="00054B83" w:rsidRPr="00D57A1B" w14:paraId="316AA088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B69AC20" w14:textId="77777777" w:rsidR="00054B83" w:rsidRPr="009364F9" w:rsidRDefault="0028586C" w:rsidP="0028586C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About TEI</w:t>
            </w:r>
          </w:p>
        </w:tc>
        <w:tc>
          <w:tcPr>
            <w:tcW w:w="9498" w:type="dxa"/>
            <w:vAlign w:val="center"/>
          </w:tcPr>
          <w:p w14:paraId="3FFCFE79" w14:textId="77777777" w:rsidR="0028586C" w:rsidRPr="0002783D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</w:pPr>
            <w:hyperlink r:id="rId10" w:tgtFrame="_blank" w:history="1">
              <w:r w:rsidR="0028586C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TEI program specifications</w:t>
              </w:r>
            </w:hyperlink>
            <w:r w:rsidR="0028586C" w:rsidRPr="0002783D">
              <w:rPr>
                <w:rFonts w:ascii="Arial" w:hAnsi="Arial" w:cs="Arial"/>
                <w:color w:val="ED7D31" w:themeColor="accent2"/>
                <w:sz w:val="14"/>
                <w:szCs w:val="14"/>
              </w:rPr>
              <w:t> </w:t>
            </w:r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- sets out the intended program outcomes, the program target group and examp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les of activities </w:t>
            </w:r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delivered under the program. 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The</w:t>
            </w:r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TEI program specifications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form part of the contract.</w:t>
            </w:r>
          </w:p>
          <w:p w14:paraId="67BB404C" w14:textId="77777777" w:rsidR="0028586C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hyperlink r:id="rId11" w:tgtFrame="_blank" w:history="1">
              <w:r w:rsidR="0028586C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TEI outcomes framework</w:t>
              </w:r>
            </w:hyperlink>
            <w:r w:rsidR="0028586C" w:rsidRPr="0002783D">
              <w:rPr>
                <w:rFonts w:ascii="Arial" w:hAnsi="Arial" w:cs="Arial"/>
                <w:color w:val="ED7D31" w:themeColor="accent2"/>
                <w:sz w:val="14"/>
                <w:szCs w:val="14"/>
              </w:rPr>
              <w:t> </w:t>
            </w:r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- underpins the whole TEI program and explains how we will work together to bui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ld evidence and improve outcomes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59E835F" w14:textId="77777777" w:rsidR="0028586C" w:rsidRPr="004575B4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2" w:history="1">
              <w:r w:rsidR="0028586C" w:rsidRPr="004575B4">
                <w:rPr>
                  <w:rStyle w:val="Hyperlink"/>
                  <w:rFonts w:ascii="Arial" w:hAnsi="Arial" w:cs="Arial"/>
                  <w:sz w:val="14"/>
                  <w:szCs w:val="14"/>
                </w:rPr>
                <w:t>Program Logic</w:t>
              </w:r>
            </w:hyperlink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>A program logic helps us link what we are doing, with why we are doing it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. It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provides a framework for monitoring and evaluating our service activities against the outcomes we want to </w:t>
            </w:r>
            <w:proofErr w:type="gramStart"/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>achieve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, and</w:t>
            </w:r>
            <w:proofErr w:type="gramEnd"/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is an important step 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towards 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evidence-informed practice. 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our program logic 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i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 a living document and 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should be 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>update</w:t>
            </w:r>
            <w:r w:rsidR="0028586C">
              <w:rPr>
                <w:rFonts w:ascii="Arial" w:hAnsi="Arial" w:cs="Arial"/>
                <w:color w:val="000000" w:themeColor="text1"/>
                <w:sz w:val="14"/>
                <w:szCs w:val="14"/>
              </w:rPr>
              <w:t>d</w:t>
            </w:r>
            <w:r w:rsidR="0028586C" w:rsidRPr="004575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as local priorities and service activities change.</w:t>
            </w:r>
          </w:p>
          <w:p w14:paraId="7D228C3B" w14:textId="77777777" w:rsidR="00054B83" w:rsidRPr="00C21689" w:rsidRDefault="0028586C" w:rsidP="00C21689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hyperlink r:id="rId13" w:history="1">
              <w:r w:rsidRPr="004C5AC2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The Agreement for Funding of Services, </w:t>
              </w:r>
              <w:r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TEI </w:t>
              </w:r>
              <w:r w:rsidRPr="004C5AC2">
                <w:rPr>
                  <w:rStyle w:val="Hyperlink"/>
                  <w:rFonts w:ascii="Arial" w:hAnsi="Arial" w:cs="Arial"/>
                  <w:sz w:val="14"/>
                  <w:szCs w:val="14"/>
                </w:rPr>
                <w:t>Schedule</w:t>
              </w:r>
            </w:hyperlink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this is the link to the generic TEI contract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template, but</w:t>
            </w:r>
            <w:proofErr w:type="gramEnd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understanding what is in your unique contract is essential in preparing for what to report in DEX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  <w:tr w:rsidR="00415FDB" w:rsidRPr="00D57A1B" w14:paraId="56FD51C3" w14:textId="77777777" w:rsidTr="006857B2">
        <w:trPr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29D46DD" w14:textId="77777777" w:rsidR="00415FDB" w:rsidRPr="009364F9" w:rsidRDefault="0028586C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myGovID</w:t>
            </w:r>
            <w:proofErr w:type="spellEnd"/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 and RAM</w:t>
            </w:r>
          </w:p>
        </w:tc>
        <w:tc>
          <w:tcPr>
            <w:tcW w:w="9498" w:type="dxa"/>
            <w:vAlign w:val="center"/>
          </w:tcPr>
          <w:p w14:paraId="46B474BC" w14:textId="77777777" w:rsidR="0028586C" w:rsidRPr="0002783D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hyperlink r:id="rId14" w:history="1">
              <w:proofErr w:type="spellStart"/>
              <w:r w:rsidR="0028586C" w:rsidRPr="0002783D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myGovID</w:t>
              </w:r>
              <w:proofErr w:type="spellEnd"/>
              <w:r w:rsidR="0028586C" w:rsidRPr="0002783D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 xml:space="preserve"> and RAM Frequently Asked Questions</w:t>
              </w:r>
            </w:hyperlink>
          </w:p>
          <w:p w14:paraId="13EF3215" w14:textId="77777777" w:rsidR="0028586C" w:rsidRPr="0002783D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5" w:tgtFrame="_blank" w:history="1">
              <w:r w:rsidR="0028586C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Getting onto the Data Exchange</w:t>
              </w:r>
            </w:hyperlink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How to set-up </w:t>
            </w:r>
            <w:proofErr w:type="spellStart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myGovID</w:t>
            </w:r>
            <w:proofErr w:type="spellEnd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, link users in RAM and access DEX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5A6104AD" w14:textId="77777777" w:rsidR="004C5AC2" w:rsidRPr="00806F9E" w:rsidRDefault="00D22299" w:rsidP="0028586C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6" w:history="1">
              <w:proofErr w:type="spellStart"/>
              <w:r w:rsidR="0028586C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myGovID</w:t>
              </w:r>
              <w:proofErr w:type="spellEnd"/>
              <w:r w:rsidR="0028586C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 and the Data Exchange</w:t>
              </w:r>
            </w:hyperlink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What is </w:t>
            </w:r>
            <w:proofErr w:type="spellStart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myGovID</w:t>
            </w:r>
            <w:proofErr w:type="spellEnd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who needs an </w:t>
            </w:r>
            <w:proofErr w:type="spellStart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myGovID</w:t>
            </w:r>
            <w:proofErr w:type="spellEnd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requesting access to the Data Exchange, </w:t>
            </w:r>
            <w:proofErr w:type="spellStart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myGovID</w:t>
            </w:r>
            <w:proofErr w:type="spellEnd"/>
            <w:r w:rsidR="0028586C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compatible browsers, clearing your browser’s cache, errors, troubleshooting, lost or forgotten passwords, Stay Smart Online.</w:t>
            </w:r>
          </w:p>
        </w:tc>
      </w:tr>
      <w:tr w:rsidR="00923600" w:rsidRPr="00D57A1B" w14:paraId="66F4C40C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F369BC7" w14:textId="77777777" w:rsidR="00923600" w:rsidRPr="009364F9" w:rsidRDefault="00284555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DEX</w:t>
            </w:r>
            <w:r w:rsidR="00923600"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 set-up</w:t>
            </w:r>
          </w:p>
        </w:tc>
        <w:tc>
          <w:tcPr>
            <w:tcW w:w="9498" w:type="dxa"/>
            <w:vAlign w:val="center"/>
          </w:tcPr>
          <w:p w14:paraId="7D02F762" w14:textId="77777777" w:rsidR="00923600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17" w:tgtFrame="_blank" w:history="1"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Data Exchange Quick Start Guide</w:t>
              </w:r>
            </w:hyperlink>
            <w:r w:rsidR="0092360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Overview of how to access and start reporting on DEX.</w:t>
            </w:r>
          </w:p>
          <w:p w14:paraId="75D95F7D" w14:textId="77777777" w:rsidR="00923600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8" w:tgtFrame="_blank" w:history="1"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Getting onto the Data Exchange</w:t>
              </w:r>
            </w:hyperlink>
            <w:r w:rsidR="0092360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How to set-up </w:t>
            </w:r>
            <w:proofErr w:type="spellStart"/>
            <w:r w:rsidR="0092360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myGovID</w:t>
            </w:r>
            <w:proofErr w:type="spellEnd"/>
            <w:r w:rsidR="0092360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, link users in RAM and access DEX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2F31260A" w14:textId="77777777" w:rsidR="00241D59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9" w:history="1">
              <w:r w:rsidR="00241D59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Data Exchange System User Access Request Form</w:t>
              </w:r>
            </w:hyperlink>
            <w:r w:rsidR="00241D59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For organisational staff to apply for access to the Data Exchange.</w:t>
            </w:r>
          </w:p>
          <w:p w14:paraId="0B8D0934" w14:textId="77777777" w:rsidR="00923600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20" w:history="1"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Setting up outlets in the Data Exchange</w:t>
              </w:r>
            </w:hyperlink>
          </w:p>
          <w:p w14:paraId="3CA6D2E1" w14:textId="77777777" w:rsidR="00923600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21" w:tgtFrame="_blank" w:history="1"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How do I set up my cases, </w:t>
              </w:r>
              <w:proofErr w:type="gramStart"/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sessions</w:t>
              </w:r>
              <w:proofErr w:type="gramEnd"/>
              <w:r w:rsidR="0092360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 and clients in the Data Exchange?</w:t>
              </w:r>
            </w:hyperlink>
          </w:p>
        </w:tc>
      </w:tr>
      <w:tr w:rsidR="00415FDB" w:rsidRPr="00D57A1B" w14:paraId="38950933" w14:textId="77777777" w:rsidTr="006857B2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711F70B" w14:textId="77777777" w:rsidR="00415FDB" w:rsidRPr="009364F9" w:rsidRDefault="00415FDB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Privacy</w:t>
            </w:r>
            <w:r w:rsidR="007C7E7E"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 and consent</w:t>
            </w:r>
          </w:p>
        </w:tc>
        <w:tc>
          <w:tcPr>
            <w:tcW w:w="9498" w:type="dxa"/>
            <w:vAlign w:val="center"/>
          </w:tcPr>
          <w:p w14:paraId="673F5668" w14:textId="77777777" w:rsidR="00415FDB" w:rsidRPr="0002783D" w:rsidRDefault="00D22299" w:rsidP="00054B83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40"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ED7D31" w:themeColor="accent2"/>
                <w:sz w:val="14"/>
                <w:szCs w:val="14"/>
              </w:rPr>
            </w:pPr>
            <w:hyperlink r:id="rId22" w:history="1">
              <w:r w:rsidR="00415FDB" w:rsidRPr="0002783D">
                <w:rPr>
                  <w:rFonts w:ascii="Arial" w:eastAsiaTheme="majorEastAsia" w:hAnsi="Arial" w:cs="Arial"/>
                  <w:color w:val="0000FF"/>
                  <w:sz w:val="14"/>
                  <w:szCs w:val="14"/>
                  <w:u w:val="single"/>
                </w:rPr>
                <w:t>Privacy Information Sheet</w:t>
              </w:r>
            </w:hyperlink>
            <w:r w:rsidR="00415FDB" w:rsidRPr="0002783D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> - will assist TEI service providers to understand the privacy obligations in their contract.</w:t>
            </w:r>
          </w:p>
          <w:p w14:paraId="03E2C5D3" w14:textId="77777777" w:rsidR="00415FDB" w:rsidRPr="0002783D" w:rsidRDefault="00D22299" w:rsidP="00054B83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40"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ED7D31" w:themeColor="accent2"/>
                <w:sz w:val="14"/>
                <w:szCs w:val="14"/>
              </w:rPr>
            </w:pPr>
            <w:hyperlink r:id="rId23" w:history="1">
              <w:r w:rsidR="00415FDB" w:rsidRPr="0002783D">
                <w:rPr>
                  <w:rFonts w:ascii="Arial" w:eastAsiaTheme="majorEastAsia" w:hAnsi="Arial" w:cs="Arial"/>
                  <w:color w:val="0000FF"/>
                  <w:sz w:val="14"/>
                  <w:szCs w:val="14"/>
                  <w:u w:val="single"/>
                </w:rPr>
                <w:t>Using the Data Exchange: Consent and Privacy</w:t>
              </w:r>
            </w:hyperlink>
            <w:r w:rsidR="00415FDB" w:rsidRPr="0002783D">
              <w:rPr>
                <w:rFonts w:ascii="Arial" w:eastAsiaTheme="majorEastAsia" w:hAnsi="Arial" w:cs="Arial"/>
                <w:color w:val="ED7D31" w:themeColor="accent2"/>
                <w:sz w:val="14"/>
                <w:szCs w:val="14"/>
              </w:rPr>
              <w:t> </w:t>
            </w:r>
            <w:r w:rsidR="00415FDB" w:rsidRPr="0002783D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>- outlines the consent and privacy principles for using the Data Exchange</w:t>
            </w:r>
            <w:r w:rsidR="00363AC1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2DCBF4AA" w14:textId="77777777" w:rsidR="00DE4247" w:rsidRPr="0002783D" w:rsidRDefault="00D22299" w:rsidP="00054B83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40"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ED7D31" w:themeColor="accent2"/>
                <w:sz w:val="14"/>
                <w:szCs w:val="14"/>
              </w:rPr>
            </w:pPr>
            <w:hyperlink r:id="rId24" w:history="1">
              <w:r w:rsidR="00415FDB" w:rsidRPr="0002783D">
                <w:rPr>
                  <w:rFonts w:ascii="Arial" w:eastAsiaTheme="majorEastAsia" w:hAnsi="Arial" w:cs="Arial"/>
                  <w:color w:val="0000FF"/>
                  <w:sz w:val="14"/>
                  <w:szCs w:val="14"/>
                  <w:u w:val="single"/>
                </w:rPr>
                <w:t>Example client intake form</w:t>
              </w:r>
            </w:hyperlink>
            <w:r w:rsidR="00415FDB" w:rsidRPr="0002783D">
              <w:rPr>
                <w:rFonts w:ascii="Arial" w:eastAsiaTheme="majorEastAsia" w:hAnsi="Arial" w:cs="Arial"/>
                <w:color w:val="ED7D31" w:themeColor="accent2"/>
                <w:sz w:val="14"/>
                <w:szCs w:val="14"/>
              </w:rPr>
              <w:t> </w:t>
            </w:r>
            <w:r w:rsidR="00415FDB" w:rsidRPr="0002783D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>- will assist TEI service providers to adhere to privacy obligations</w:t>
            </w:r>
            <w:r w:rsidR="00363AC1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0475DC67" w14:textId="77777777" w:rsidR="00E65BB4" w:rsidRPr="0002783D" w:rsidRDefault="00D22299" w:rsidP="00054B83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before="40"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</w:pPr>
            <w:hyperlink r:id="rId25" w:history="1">
              <w:r w:rsidR="00E65BB4" w:rsidRPr="0002783D">
                <w:rPr>
                  <w:rStyle w:val="Hyperlink"/>
                  <w:rFonts w:ascii="Arial" w:eastAsiaTheme="majorEastAsia" w:hAnsi="Arial" w:cs="Arial"/>
                  <w:sz w:val="14"/>
                  <w:szCs w:val="14"/>
                </w:rPr>
                <w:t>Information for clients about privacy</w:t>
              </w:r>
            </w:hyperlink>
            <w:r w:rsidR="00E65BB4" w:rsidRPr="0002783D">
              <w:rPr>
                <w:rFonts w:ascii="Arial" w:eastAsiaTheme="majorEastAsia" w:hAnsi="Arial" w:cs="Arial"/>
                <w:color w:val="000000" w:themeColor="text1"/>
                <w:sz w:val="14"/>
                <w:szCs w:val="14"/>
              </w:rPr>
              <w:t xml:space="preserve"> - A plain English explanation of how privacy works within the Data Exchange. It explains how the Data Exchange protects a client’s personal identifying details.</w:t>
            </w:r>
          </w:p>
        </w:tc>
      </w:tr>
      <w:tr w:rsidR="00415FDB" w:rsidRPr="00D57A1B" w14:paraId="7C950E31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88EC2B1" w14:textId="77777777" w:rsidR="00415FDB" w:rsidRPr="009364F9" w:rsidRDefault="00284555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TEI m</w:t>
            </w:r>
            <w:r w:rsidR="00923600"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inimum </w:t>
            </w: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dataset</w:t>
            </w:r>
          </w:p>
        </w:tc>
        <w:tc>
          <w:tcPr>
            <w:tcW w:w="9498" w:type="dxa"/>
            <w:vAlign w:val="center"/>
          </w:tcPr>
          <w:p w14:paraId="27CFDFFC" w14:textId="77777777" w:rsidR="00415FDB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26" w:tgtFrame="_blank" w:history="1">
              <w:r w:rsidR="00415FDB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Data collection and reporting guide</w:t>
              </w:r>
            </w:hyperlink>
            <w:r w:rsidR="00683F20" w:rsidRPr="0002783D">
              <w:rPr>
                <w:rFonts w:ascii="Arial" w:hAnsi="Arial" w:cs="Arial"/>
                <w:color w:val="ED7D31" w:themeColor="accent2"/>
                <w:sz w:val="14"/>
                <w:szCs w:val="14"/>
              </w:rPr>
              <w:t xml:space="preserve"> </w:t>
            </w:r>
            <w:r w:rsidR="002E48B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–</w:t>
            </w:r>
            <w:r w:rsidR="00683F2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2E48B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explains how to link outcomes identified in program logics to DEX; how to measure and report client outcomes using SCORE; and reporting requirements (minimum dataset)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6CD09EA9" w14:textId="77777777" w:rsidR="00415FDB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27" w:tgtFrame="_blank" w:history="1">
              <w:r w:rsidR="00415FDB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What information do I need to record in the Data Exchange?</w:t>
              </w:r>
            </w:hyperlink>
            <w:r w:rsidR="005A6F2B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provides examples of the minimum dataset for specific service types</w:t>
            </w:r>
            <w:r w:rsidR="00057F87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and how to measure and report client and community outcomes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A63AA9D" w14:textId="77777777" w:rsidR="00415FDB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28" w:tgtFrame="_blank" w:history="1">
              <w:r w:rsidR="00415FDB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Example client intake form</w:t>
              </w:r>
            </w:hyperlink>
            <w:r w:rsidR="00057F87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example of how to collect the demographic information you need to report in the Data Exchang</w:t>
            </w:r>
            <w:r w:rsidR="00BA3F8F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  <w:tr w:rsidR="00C543B5" w:rsidRPr="00D57A1B" w14:paraId="7F4E042B" w14:textId="77777777" w:rsidTr="0068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D4E60BD" w14:textId="77777777" w:rsidR="00C543B5" w:rsidRPr="009364F9" w:rsidRDefault="00C543B5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TEI Outcomes Matrix</w:t>
            </w:r>
          </w:p>
        </w:tc>
        <w:tc>
          <w:tcPr>
            <w:tcW w:w="9498" w:type="dxa"/>
            <w:vAlign w:val="center"/>
          </w:tcPr>
          <w:p w14:paraId="42E22513" w14:textId="77777777" w:rsidR="006B3776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29" w:tgtFrame="_blank" w:history="1">
              <w:r w:rsidR="006B3776" w:rsidRPr="004C2FEF">
                <w:rPr>
                  <w:rStyle w:val="Hyperlink"/>
                  <w:rFonts w:ascii="Arial" w:hAnsi="Arial" w:cs="Arial"/>
                  <w:sz w:val="14"/>
                  <w:szCs w:val="14"/>
                </w:rPr>
                <w:t>Outcomes Matrix</w:t>
              </w:r>
            </w:hyperlink>
            <w:r w:rsidR="006B3776" w:rsidRPr="006B3776">
              <w:rPr>
                <w:rFonts w:ascii="Arial" w:eastAsiaTheme="minorHAnsi" w:hAnsi="Arial" w:cs="Arial"/>
                <w:sz w:val="14"/>
                <w:szCs w:val="14"/>
              </w:rPr>
              <w:t xml:space="preserve"> - </w:t>
            </w:r>
            <w:r w:rsidR="006B3776" w:rsidRPr="006B3776">
              <w:rPr>
                <w:rFonts w:ascii="Arial" w:hAnsi="Arial" w:cs="Arial"/>
                <w:color w:val="000000" w:themeColor="text1"/>
                <w:sz w:val="14"/>
                <w:szCs w:val="14"/>
              </w:rPr>
              <w:t>support TEI-funded service providers to measure and report client/community outcomes for the TEI program</w:t>
            </w:r>
            <w:r w:rsidR="006B377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6B3776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i.e. what questions will they ask or what tool will they use; when they will measure client/community outcomes; and who will measure client/community outcomes</w:t>
            </w:r>
          </w:p>
          <w:p w14:paraId="78B531D3" w14:textId="77777777" w:rsidR="00C543B5" w:rsidRPr="0002783D" w:rsidRDefault="00C543B5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Real examples of measuring outcomes from service providers</w:t>
            </w:r>
            <w:r w:rsidR="00DB21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are</w:t>
            </w:r>
            <w:r w:rsidR="00DB21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found on </w:t>
            </w:r>
            <w:hyperlink r:id="rId30" w:history="1">
              <w:r w:rsidR="00DB21E9" w:rsidRPr="00DB21E9">
                <w:rPr>
                  <w:rStyle w:val="Hyperlink"/>
                  <w:rFonts w:ascii="Arial" w:hAnsi="Arial" w:cs="Arial"/>
                  <w:sz w:val="14"/>
                  <w:szCs w:val="14"/>
                </w:rPr>
                <w:t>this page</w:t>
              </w:r>
            </w:hyperlink>
            <w:r w:rsidR="00DB21E9">
              <w:rPr>
                <w:rFonts w:ascii="Arial" w:hAnsi="Arial" w:cs="Arial"/>
                <w:color w:val="000000" w:themeColor="text1"/>
                <w:sz w:val="14"/>
                <w:szCs w:val="14"/>
              </w:rPr>
              <w:t>. Below are two highlighted examples:</w:t>
            </w:r>
          </w:p>
          <w:p w14:paraId="5A456961" w14:textId="77777777" w:rsidR="00C543B5" w:rsidRPr="007C7E7E" w:rsidRDefault="00D22299" w:rsidP="00054B83">
            <w:pPr>
              <w:pStyle w:val="ListParagraph"/>
              <w:numPr>
                <w:ilvl w:val="1"/>
                <w:numId w:val="13"/>
              </w:numPr>
              <w:tabs>
                <w:tab w:val="clear" w:pos="1440"/>
                <w:tab w:val="num" w:pos="317"/>
                <w:tab w:val="num" w:pos="736"/>
              </w:tabs>
              <w:spacing w:before="40" w:after="40"/>
              <w:ind w:left="311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31" w:history="1">
              <w:r w:rsidR="00C543B5" w:rsidRPr="007C7E7E">
                <w:rPr>
                  <w:rFonts w:ascii="Arial" w:hAnsi="Arial" w:cs="Arial"/>
                  <w:sz w:val="14"/>
                  <w:szCs w:val="14"/>
                  <w:u w:val="single"/>
                </w:rPr>
                <w:t>Sugar Valley Neighbourhood Centre – Outcomes Matrix</w:t>
              </w:r>
            </w:hyperlink>
          </w:p>
          <w:p w14:paraId="33E8A6A6" w14:textId="77777777" w:rsidR="00C543B5" w:rsidRPr="0002783D" w:rsidRDefault="00D22299" w:rsidP="00054B83">
            <w:pPr>
              <w:pStyle w:val="ListParagraph"/>
              <w:numPr>
                <w:ilvl w:val="1"/>
                <w:numId w:val="13"/>
              </w:numPr>
              <w:tabs>
                <w:tab w:val="clear" w:pos="1440"/>
                <w:tab w:val="num" w:pos="317"/>
                <w:tab w:val="num" w:pos="736"/>
              </w:tabs>
              <w:spacing w:before="40" w:after="40"/>
              <w:ind w:left="311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hyperlink r:id="rId32" w:history="1">
              <w:r w:rsidR="00C543B5" w:rsidRPr="007C7E7E">
                <w:rPr>
                  <w:rFonts w:ascii="Arial" w:hAnsi="Arial" w:cs="Arial"/>
                  <w:sz w:val="14"/>
                  <w:szCs w:val="14"/>
                  <w:u w:val="single"/>
                </w:rPr>
                <w:t>Sugar Valley Neighbourhood Centre – Client survey</w:t>
              </w:r>
            </w:hyperlink>
          </w:p>
        </w:tc>
      </w:tr>
      <w:tr w:rsidR="00415FDB" w:rsidRPr="00D57A1B" w14:paraId="51CA82D0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F02EBF7" w14:textId="77777777" w:rsidR="00415FDB" w:rsidRPr="009364F9" w:rsidRDefault="00923600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Measuring and reporting o</w:t>
            </w:r>
            <w:r w:rsidR="00DE4247" w:rsidRPr="009364F9">
              <w:rPr>
                <w:rFonts w:ascii="Arial" w:hAnsi="Arial" w:cs="Arial"/>
                <w:color w:val="auto"/>
                <w:sz w:val="28"/>
                <w:szCs w:val="28"/>
              </w:rPr>
              <w:t>utcomes</w:t>
            </w: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 (SCORE)</w:t>
            </w:r>
          </w:p>
        </w:tc>
        <w:tc>
          <w:tcPr>
            <w:tcW w:w="9498" w:type="dxa"/>
            <w:vAlign w:val="center"/>
          </w:tcPr>
          <w:p w14:paraId="5E2356CB" w14:textId="389BDC18" w:rsidR="00841A58" w:rsidRPr="00841A58" w:rsidRDefault="00D22299" w:rsidP="00841A58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3" w:history="1">
              <w:r w:rsidR="00841A58" w:rsidRPr="002D4151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TEI Outcomes </w:t>
              </w:r>
              <w:r w:rsidR="002D4151" w:rsidRPr="002D4151">
                <w:rPr>
                  <w:rStyle w:val="Hyperlink"/>
                  <w:rFonts w:ascii="Arial" w:hAnsi="Arial" w:cs="Arial"/>
                  <w:sz w:val="14"/>
                  <w:szCs w:val="14"/>
                </w:rPr>
                <w:t>Alignment</w:t>
              </w:r>
              <w:r w:rsidR="00363AC1" w:rsidRPr="002D4151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 </w:t>
              </w:r>
              <w:r w:rsidR="00841A58" w:rsidRPr="002D4151">
                <w:rPr>
                  <w:rStyle w:val="Hyperlink"/>
                  <w:rFonts w:ascii="Arial" w:hAnsi="Arial" w:cs="Arial"/>
                  <w:sz w:val="14"/>
                  <w:szCs w:val="14"/>
                </w:rPr>
                <w:t>Tool</w:t>
              </w:r>
            </w:hyperlink>
            <w:r w:rsidR="00841A5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841A58" w:rsidRPr="00841A5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– this tool </w:t>
            </w:r>
            <w:r w:rsidR="00841A5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helps </w:t>
            </w:r>
            <w:r w:rsidR="00841A58" w:rsidRPr="00841A58">
              <w:rPr>
                <w:rFonts w:ascii="Arial" w:hAnsi="Arial" w:cs="Arial"/>
                <w:color w:val="000000" w:themeColor="text1"/>
                <w:sz w:val="14"/>
                <w:szCs w:val="14"/>
              </w:rPr>
              <w:t>service providers and District Commissioning &amp; Planning teams to accurately align TEI client and/or community outcomes agreed in a TEI contract, populated in a Program Logic and Outcomes Matrix, and reported in DEX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0CC59186" w14:textId="77777777" w:rsidR="00DE4247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4" w:history="1">
              <w:r w:rsidR="00DE4247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Measuring outcomes in the TEI Program: E-learning modules</w:t>
              </w:r>
            </w:hyperlink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online short course explaining:</w:t>
            </w:r>
          </w:p>
          <w:p w14:paraId="126C8B1D" w14:textId="77777777" w:rsidR="00AC698D" w:rsidRPr="0002783D" w:rsidRDefault="00AC698D" w:rsidP="00054B83">
            <w:pPr>
              <w:pStyle w:val="ListParagraph"/>
              <w:numPr>
                <w:ilvl w:val="1"/>
                <w:numId w:val="13"/>
              </w:numPr>
              <w:tabs>
                <w:tab w:val="clear" w:pos="1440"/>
                <w:tab w:val="num" w:pos="317"/>
                <w:tab w:val="num" w:pos="736"/>
              </w:tabs>
              <w:spacing w:before="40" w:after="40"/>
              <w:ind w:left="311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2783D">
              <w:rPr>
                <w:rFonts w:ascii="Arial" w:hAnsi="Arial" w:cs="Arial"/>
                <w:color w:val="auto"/>
                <w:sz w:val="14"/>
                <w:szCs w:val="14"/>
              </w:rPr>
              <w:t>What client outcomes are and why it’s important to measure and report on them</w:t>
            </w:r>
          </w:p>
          <w:p w14:paraId="69218B4F" w14:textId="77777777" w:rsidR="00AC698D" w:rsidRPr="0002783D" w:rsidRDefault="00AC698D" w:rsidP="00054B83">
            <w:pPr>
              <w:pStyle w:val="ListParagraph"/>
              <w:numPr>
                <w:ilvl w:val="1"/>
                <w:numId w:val="13"/>
              </w:numPr>
              <w:tabs>
                <w:tab w:val="clear" w:pos="1440"/>
                <w:tab w:val="num" w:pos="317"/>
                <w:tab w:val="num" w:pos="736"/>
              </w:tabs>
              <w:spacing w:before="40" w:after="40"/>
              <w:ind w:left="311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2783D">
              <w:rPr>
                <w:rFonts w:ascii="Arial" w:hAnsi="Arial" w:cs="Arial"/>
                <w:color w:val="auto"/>
                <w:sz w:val="14"/>
                <w:szCs w:val="14"/>
              </w:rPr>
              <w:t>What SCORE is and how to use it</w:t>
            </w:r>
          </w:p>
          <w:p w14:paraId="46EA433F" w14:textId="77777777" w:rsidR="00AC698D" w:rsidRPr="0002783D" w:rsidRDefault="00AC698D" w:rsidP="00054B83">
            <w:pPr>
              <w:pStyle w:val="ListParagraph"/>
              <w:numPr>
                <w:ilvl w:val="1"/>
                <w:numId w:val="13"/>
              </w:numPr>
              <w:tabs>
                <w:tab w:val="clear" w:pos="1440"/>
                <w:tab w:val="num" w:pos="317"/>
                <w:tab w:val="num" w:pos="736"/>
              </w:tabs>
              <w:spacing w:before="40" w:after="40"/>
              <w:ind w:left="311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2783D">
              <w:rPr>
                <w:rFonts w:ascii="Arial" w:hAnsi="Arial" w:cs="Arial"/>
                <w:color w:val="auto"/>
                <w:sz w:val="14"/>
                <w:szCs w:val="14"/>
              </w:rPr>
              <w:t>What Community SCORE is and how to use it</w:t>
            </w:r>
            <w:r w:rsidR="00363AC1">
              <w:rPr>
                <w:rFonts w:ascii="Arial" w:hAnsi="Arial" w:cs="Arial"/>
                <w:color w:val="auto"/>
                <w:sz w:val="14"/>
                <w:szCs w:val="14"/>
              </w:rPr>
              <w:t>.</w:t>
            </w:r>
          </w:p>
          <w:p w14:paraId="242290CB" w14:textId="77777777" w:rsidR="00DE4247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5" w:history="1">
              <w:r w:rsidR="00DE4247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What is SCORE and how can I use it for the TEI program?</w:t>
              </w:r>
            </w:hyperlink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a step-by-step guide to collect and report SCOREs for </w:t>
            </w:r>
            <w:r w:rsidR="00AC698D" w:rsidRPr="000278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individual</w:t>
            </w:r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clients in </w:t>
            </w:r>
            <w:r w:rsidR="00804AF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DEX</w:t>
            </w:r>
            <w:r w:rsidR="00363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5D198B78" w14:textId="77777777" w:rsidR="00DE4247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6" w:history="1">
              <w:r w:rsidR="00DE4247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TEI guide to developing surveys</w:t>
              </w:r>
            </w:hyperlink>
            <w:r w:rsidR="00804AF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a guide on how to develop pre- and post-surveys to measure outcomes for individual clients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38085EA0" w14:textId="77777777" w:rsidR="00DE4247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7" w:history="1">
              <w:r w:rsidR="00DE4247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What is Community SCORE and how do I use it in the TEI program?</w:t>
              </w:r>
            </w:hyperlink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</w:t>
            </w:r>
            <w:r w:rsidR="00804AF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 step-by-step guide on how to</w:t>
            </w:r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collect and report </w:t>
            </w:r>
            <w:r w:rsidR="00AC698D" w:rsidRPr="000278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Community</w:t>
            </w:r>
            <w:r w:rsidR="00804AF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AC698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SCOREs for </w:t>
            </w:r>
            <w:r w:rsidR="00AC698D" w:rsidRPr="000278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groups of unidentifie</w:t>
            </w:r>
            <w:r w:rsidR="00804AF4" w:rsidRPr="000278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 clients</w:t>
            </w:r>
            <w:r w:rsidR="00804AF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in DEX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3422E669" w14:textId="77777777" w:rsidR="00805DC1" w:rsidRPr="009364F9" w:rsidRDefault="00D22299" w:rsidP="009364F9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8" w:history="1">
              <w:r w:rsidR="00805DC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Community Outcomes (SCORE) Fact Sheet</w:t>
              </w:r>
            </w:hyperlink>
            <w:r w:rsidR="00805DC1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This fac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t sheet discusses: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805DC1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is Community SCORE?</w:t>
            </w:r>
            <w:r w:rsidR="009364F9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805DC1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Why is it important to measure a Community SCORE?</w:t>
            </w:r>
            <w:r w:rsidR="009364F9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805DC1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How are Community SCOREs measured?</w:t>
            </w:r>
          </w:p>
          <w:p w14:paraId="7C553557" w14:textId="77777777" w:rsidR="00415FDB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39" w:history="1">
              <w:r w:rsidR="00C543B5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A partnership approach to reporting outcomes</w:t>
              </w:r>
            </w:hyperlink>
            <w:r w:rsidR="00C543B5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A short summary of the benefits of collecting outcomes data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. Note: all TEI services must sign up to the Partnership Approach.</w:t>
            </w:r>
          </w:p>
          <w:p w14:paraId="6BEC5080" w14:textId="77777777" w:rsidR="00E65BB4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0" w:history="1">
              <w:r w:rsidR="00E65BB4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Measuring outcomes: a beginner’s guide</w:t>
              </w:r>
            </w:hyperlink>
            <w:r w:rsidR="00E65BB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A guide to the logic of outcomes, why outcomes reporting is important, and how to define outcomes suitable for your organisation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63D92F1E" w14:textId="77777777" w:rsidR="002601FA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1" w:history="1">
              <w:r w:rsidR="002601FA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How to use SCORE with clients</w:t>
              </w:r>
            </w:hyperlink>
            <w:r w:rsidR="002601FA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–</w:t>
            </w:r>
            <w:r w:rsidR="002601FA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‘</w:t>
            </w:r>
            <w:r w:rsidR="002601FA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How to use S</w:t>
            </w:r>
            <w:r w:rsidR="00483810">
              <w:rPr>
                <w:rFonts w:ascii="Arial" w:hAnsi="Arial" w:cs="Arial"/>
                <w:color w:val="000000" w:themeColor="text1"/>
                <w:sz w:val="14"/>
                <w:szCs w:val="14"/>
              </w:rPr>
              <w:t>CORE with clients’</w:t>
            </w:r>
            <w:r w:rsidR="002601FA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is a document that lists possible client responses in the SCORE domains of CIRCUMSTANCE, GOAL and SATISFACTION. It can be used directly with clients.</w:t>
            </w:r>
          </w:p>
          <w:p w14:paraId="1DF16C0A" w14:textId="77777777" w:rsidR="002601FA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2" w:history="1">
              <w:r w:rsidR="002601FA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SCORE Translation Matrix</w:t>
              </w:r>
            </w:hyperlink>
            <w:r w:rsidR="002601FA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Use this document to convert other measurement tools into SCORE (Standard Client/Community Outcomes Reporting).</w:t>
            </w:r>
          </w:p>
        </w:tc>
      </w:tr>
      <w:tr w:rsidR="00847E50" w:rsidRPr="00D57A1B" w14:paraId="5D69AC79" w14:textId="77777777" w:rsidTr="006857B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10954D4" w14:textId="77777777" w:rsidR="00847E50" w:rsidRPr="009364F9" w:rsidRDefault="007C7E7E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Logg</w:t>
            </w:r>
            <w:r w:rsidR="00847E50" w:rsidRPr="009364F9">
              <w:rPr>
                <w:rFonts w:ascii="Arial" w:hAnsi="Arial" w:cs="Arial"/>
                <w:color w:val="auto"/>
                <w:sz w:val="28"/>
                <w:szCs w:val="28"/>
              </w:rPr>
              <w:t>in</w:t>
            </w: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g into</w:t>
            </w:r>
            <w:r w:rsidR="00847E50" w:rsidRPr="009364F9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DEX</w:t>
            </w:r>
          </w:p>
        </w:tc>
        <w:tc>
          <w:tcPr>
            <w:tcW w:w="9498" w:type="dxa"/>
            <w:vAlign w:val="center"/>
          </w:tcPr>
          <w:p w14:paraId="3E083F1A" w14:textId="77777777" w:rsidR="00847E50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3" w:history="1">
              <w:r w:rsidR="00847E50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Log in to the Data Exchange web-based portal</w:t>
              </w:r>
            </w:hyperlink>
            <w:r w:rsidR="00847E50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This task card discusses before accessing the Data Exchange, and first time accessing the Data Exchange.</w:t>
            </w:r>
          </w:p>
        </w:tc>
      </w:tr>
      <w:tr w:rsidR="000D7DC7" w:rsidRPr="00D57A1B" w14:paraId="1EBC0A9B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A0A8A9B" w14:textId="77777777" w:rsidR="000D7DC7" w:rsidRPr="009364F9" w:rsidRDefault="00D57A1B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Bulk upload data</w:t>
            </w:r>
          </w:p>
        </w:tc>
        <w:tc>
          <w:tcPr>
            <w:tcW w:w="9498" w:type="dxa"/>
            <w:vAlign w:val="center"/>
          </w:tcPr>
          <w:p w14:paraId="41741E52" w14:textId="77777777" w:rsidR="000D7DC7" w:rsidRPr="0002783D" w:rsidRDefault="00D22299" w:rsidP="00054B83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4" w:history="1">
              <w:r w:rsidR="000D7DC7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Bulk File Upload Technical Specifications</w:t>
              </w:r>
            </w:hyperlink>
            <w:r w:rsidR="00D57A1B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</w:t>
            </w:r>
            <w:r w:rsidR="00584772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The Data Exchange Bulk File Upload Technical Specifications is intended for organisations wanting to use bulk uploads to submit their data to the Data Exchange. </w:t>
            </w:r>
            <w:r w:rsidR="00D57A1B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The document provides technical details about the data format and system requirements, and are primarily aimed at IT managers, system developers and software providers.</w:t>
            </w:r>
          </w:p>
        </w:tc>
      </w:tr>
      <w:tr w:rsidR="000D7DC7" w:rsidRPr="00D57A1B" w14:paraId="5282E1EF" w14:textId="77777777" w:rsidTr="006857B2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EEF957B" w14:textId="77777777" w:rsidR="000D7DC7" w:rsidRPr="009364F9" w:rsidRDefault="000D7DC7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Sys</w:t>
            </w:r>
            <w:r w:rsidR="00D57A1B" w:rsidRPr="009364F9">
              <w:rPr>
                <w:rFonts w:ascii="Arial" w:hAnsi="Arial" w:cs="Arial"/>
                <w:color w:val="auto"/>
                <w:sz w:val="28"/>
                <w:szCs w:val="28"/>
              </w:rPr>
              <w:t>tem-to-system transfer of data</w:t>
            </w:r>
          </w:p>
        </w:tc>
        <w:tc>
          <w:tcPr>
            <w:tcW w:w="9498" w:type="dxa"/>
            <w:vAlign w:val="center"/>
          </w:tcPr>
          <w:p w14:paraId="7DF24661" w14:textId="236CD9F9" w:rsidR="000D7DC7" w:rsidRPr="002A0E2F" w:rsidRDefault="00D22299" w:rsidP="002A0E2F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45" w:history="1">
              <w:r w:rsidR="000D7DC7" w:rsidRPr="001519F6">
                <w:rPr>
                  <w:rStyle w:val="Hyperlink"/>
                  <w:rFonts w:ascii="Arial" w:hAnsi="Arial" w:cs="Arial"/>
                  <w:sz w:val="14"/>
                  <w:szCs w:val="14"/>
                </w:rPr>
                <w:t>Web Services Technical Specifications</w:t>
              </w:r>
            </w:hyperlink>
            <w:r w:rsidR="00D57A1B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The Data Exchange System-to-System Technical Specifications are for organisations wanting to use system-to-system transfers to submit their data to the Data Exchange.</w:t>
            </w:r>
            <w:r w:rsidR="002A0E2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D57A1B" w:rsidRPr="002A0E2F">
              <w:rPr>
                <w:rFonts w:ascii="Arial" w:hAnsi="Arial" w:cs="Arial"/>
                <w:color w:val="000000" w:themeColor="text1"/>
                <w:sz w:val="14"/>
                <w:szCs w:val="14"/>
              </w:rPr>
              <w:t>The document provides technical details about the data format and system requirements, and is aimed at IT managers, system developers and software providers.</w:t>
            </w:r>
          </w:p>
        </w:tc>
      </w:tr>
      <w:tr w:rsidR="007C6FC8" w:rsidRPr="00D57A1B" w14:paraId="4FA16E9D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22280D8" w14:textId="77777777" w:rsidR="007C6FC8" w:rsidRPr="009364F9" w:rsidRDefault="007C6FC8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Qualitative data reporting</w:t>
            </w:r>
          </w:p>
        </w:tc>
        <w:tc>
          <w:tcPr>
            <w:tcW w:w="9498" w:type="dxa"/>
            <w:vAlign w:val="center"/>
          </w:tcPr>
          <w:p w14:paraId="00B58AFB" w14:textId="70A19C6E" w:rsidR="007C6FC8" w:rsidRPr="00C965E9" w:rsidRDefault="00C965E9" w:rsidP="00C965E9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T</w:t>
            </w:r>
            <w:r w:rsidR="007C6FC8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he </w:t>
            </w:r>
            <w:hyperlink r:id="rId46" w:history="1">
              <w:r w:rsidR="007C6FC8" w:rsidRPr="00C965E9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TEI Data Collection &amp; </w:t>
              </w:r>
              <w:r w:rsidR="007C6FC8" w:rsidRPr="00C965E9">
                <w:rPr>
                  <w:rStyle w:val="Hyperlink"/>
                  <w:rFonts w:ascii="Arial" w:hAnsi="Arial" w:cs="Arial"/>
                  <w:sz w:val="14"/>
                  <w:szCs w:val="14"/>
                </w:rPr>
                <w:t>R</w:t>
              </w:r>
              <w:r w:rsidR="007C6FC8" w:rsidRPr="00C965E9">
                <w:rPr>
                  <w:rStyle w:val="Hyperlink"/>
                  <w:rFonts w:ascii="Arial" w:hAnsi="Arial" w:cs="Arial"/>
                  <w:sz w:val="14"/>
                  <w:szCs w:val="14"/>
                </w:rPr>
                <w:t>eporting Guide</w:t>
              </w:r>
            </w:hyperlink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</w:t>
            </w:r>
            <w:r w:rsidR="007C6FC8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p38</w:t>
            </w: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  <w:r w:rsidR="007C6FC8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provides guidanc</w:t>
            </w: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 on reporting qualitative data. </w:t>
            </w:r>
            <w:r w:rsidR="006E125C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Qualitative data can provide important insights into our client’s experiences and the impact of our services.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6E125C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In the TEI program, it is NOT mandatory to collect and analyse qualitative data. </w:t>
            </w:r>
            <w:r w:rsidR="007C6FC8"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Services should only collect qualitative data if they have somewhere safe to store the data (hard and/or soft copies); have the capacity to analyse the data; will use the data to better understand client needs and outcomes; will use the data to improve service delivery and design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C46F6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More work is underway in this space.</w:t>
            </w:r>
          </w:p>
        </w:tc>
      </w:tr>
      <w:tr w:rsidR="00C965E9" w:rsidRPr="00D57A1B" w14:paraId="76EED5A6" w14:textId="77777777" w:rsidTr="006857B2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F1D6D0B" w14:textId="77777777" w:rsidR="00C965E9" w:rsidRDefault="00C965E9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Sector development</w:t>
            </w:r>
          </w:p>
        </w:tc>
        <w:tc>
          <w:tcPr>
            <w:tcW w:w="9498" w:type="dxa"/>
            <w:vAlign w:val="center"/>
          </w:tcPr>
          <w:p w14:paraId="26ED414C" w14:textId="77777777" w:rsidR="00C965E9" w:rsidRDefault="00C965E9" w:rsidP="00C965E9">
            <w:pPr>
              <w:pStyle w:val="Heading2"/>
              <w:keepNext w:val="0"/>
              <w:keepLines w:val="0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Sector Development organisations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can use the </w:t>
            </w:r>
            <w:hyperlink r:id="rId47" w:history="1">
              <w:r w:rsidRPr="00C965E9">
                <w:rPr>
                  <w:rStyle w:val="Hyperlink"/>
                  <w:rFonts w:ascii="Arial" w:hAnsi="Arial" w:cs="Arial"/>
                  <w:sz w:val="14"/>
                  <w:szCs w:val="14"/>
                </w:rPr>
                <w:t>Optional Reporting Tool Template</w:t>
              </w:r>
            </w:hyperlink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and </w:t>
            </w:r>
            <w:hyperlink r:id="rId48" w:history="1">
              <w:r w:rsidRPr="002A7857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Optional Reporting Tool </w:t>
              </w:r>
              <w:r w:rsidR="002A7857" w:rsidRPr="002A7857">
                <w:rPr>
                  <w:rStyle w:val="Hyperlink"/>
                  <w:rFonts w:ascii="Arial" w:hAnsi="Arial" w:cs="Arial"/>
                  <w:sz w:val="14"/>
                  <w:szCs w:val="14"/>
                </w:rPr>
                <w:t>–</w:t>
              </w:r>
              <w:r w:rsidRPr="002A7857">
                <w:rPr>
                  <w:rStyle w:val="Hyperlink"/>
                  <w:rFonts w:ascii="Arial" w:hAnsi="Arial" w:cs="Arial"/>
                  <w:sz w:val="14"/>
                  <w:szCs w:val="14"/>
                </w:rPr>
                <w:t xml:space="preserve"> A</w:t>
              </w:r>
              <w:r w:rsidR="002A7857" w:rsidRPr="002A7857">
                <w:rPr>
                  <w:rStyle w:val="Hyperlink"/>
                  <w:rFonts w:ascii="Arial" w:hAnsi="Arial" w:cs="Arial"/>
                  <w:sz w:val="14"/>
                  <w:szCs w:val="14"/>
                </w:rPr>
                <w:t>ppendices</w:t>
              </w:r>
            </w:hyperlink>
            <w:r w:rsidR="002A785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to supplement the</w:t>
            </w:r>
            <w:r w:rsidR="00A475F3">
              <w:rPr>
                <w:rFonts w:ascii="Arial" w:hAnsi="Arial" w:cs="Arial"/>
                <w:color w:val="000000" w:themeColor="text1"/>
                <w:sz w:val="14"/>
                <w:szCs w:val="14"/>
              </w:rPr>
              <w:t>ir</w:t>
            </w: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informati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on recorded in DEX</w:t>
            </w:r>
            <w:r w:rsidRPr="00C965E9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  <w:tr w:rsidR="00DE4247" w:rsidRPr="00D57A1B" w14:paraId="4252E0A6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38747BA" w14:textId="77777777" w:rsidR="00DE4247" w:rsidRPr="009364F9" w:rsidRDefault="00284555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DEX r</w:t>
            </w:r>
            <w:r w:rsidR="00521281" w:rsidRPr="009364F9">
              <w:rPr>
                <w:rFonts w:ascii="Arial" w:hAnsi="Arial" w:cs="Arial"/>
                <w:color w:val="auto"/>
                <w:sz w:val="28"/>
                <w:szCs w:val="28"/>
              </w:rPr>
              <w:t>eports</w:t>
            </w:r>
          </w:p>
        </w:tc>
        <w:tc>
          <w:tcPr>
            <w:tcW w:w="9498" w:type="dxa"/>
            <w:vAlign w:val="center"/>
          </w:tcPr>
          <w:p w14:paraId="37D77F51" w14:textId="77777777" w:rsidR="00521281" w:rsidRPr="0002783D" w:rsidRDefault="00D22299" w:rsidP="00054B83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49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Access, Explore and Export your Data Exchange Data</w:t>
              </w:r>
            </w:hyperlink>
          </w:p>
          <w:p w14:paraId="613C0A9C" w14:textId="77777777" w:rsidR="00676E88" w:rsidRPr="009364F9" w:rsidRDefault="00D22299" w:rsidP="009364F9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50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Using data in the TEI Program</w:t>
              </w:r>
            </w:hyperlink>
            <w:r w:rsidR="00676E88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a guide for providers and DCJ Commiss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ioning and Planning Officers to</w:t>
            </w:r>
            <w:r w:rsidR="002A785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676E88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use data to demonstrate performance against TEI contract/s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; </w:t>
            </w:r>
            <w:r w:rsidR="00676E88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identify and fix data quality issues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; and i</w:t>
            </w:r>
            <w:r w:rsidR="00676E88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ncludes a check list to prepare for contract management discussions</w:t>
            </w:r>
          </w:p>
          <w:p w14:paraId="576FE7C0" w14:textId="77777777" w:rsidR="00521281" w:rsidRPr="009364F9" w:rsidRDefault="00D22299" w:rsidP="009364F9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51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Using data to improve our services</w:t>
              </w:r>
            </w:hyperlink>
            <w:r w:rsidR="00AD0BC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a guide on how to use data to inform d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ecisions about service delivery to u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nderstand client needs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; u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nderstand and improve client outcomes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; u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nderstand client pathways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; and p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lan and forecast future service delivery</w:t>
            </w:r>
          </w:p>
          <w:p w14:paraId="7B1A8BDC" w14:textId="77777777" w:rsidR="00DE4247" w:rsidRPr="009364F9" w:rsidRDefault="00D22299" w:rsidP="009364F9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52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The NSW TEI Activity Report</w:t>
              </w:r>
            </w:hyperlink>
            <w:r w:rsidR="00AD0BC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a gui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de on how to use this report to 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keep track of key performance measures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; 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clearly understand who our clients are and what they need, in real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time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; and 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understand what activities are effective and what outcomes they contribute to</w:t>
            </w:r>
            <w:r w:rsid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AD0BC4" w:rsidRPr="009364F9">
              <w:rPr>
                <w:rFonts w:ascii="Arial" w:hAnsi="Arial" w:cs="Arial"/>
                <w:color w:val="000000" w:themeColor="text1"/>
                <w:sz w:val="14"/>
                <w:szCs w:val="14"/>
              </w:rPr>
              <w:t>identify key data quality issues</w:t>
            </w:r>
          </w:p>
          <w:p w14:paraId="44747254" w14:textId="77777777" w:rsidR="00241D59" w:rsidRPr="0002783D" w:rsidRDefault="00D22299" w:rsidP="00054B83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53" w:history="1">
              <w:r w:rsidR="00241D59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Recording alternate forms of service delivery</w:t>
              </w:r>
            </w:hyperlink>
            <w:r w:rsidR="00241D59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This fact sheet provides information to assist organisations on how to record telephone, virtual or remote service delivery in the Data Exchange.</w:t>
            </w:r>
          </w:p>
        </w:tc>
      </w:tr>
      <w:tr w:rsidR="00E65BB4" w:rsidRPr="00D57A1B" w14:paraId="2E6DE86A" w14:textId="77777777" w:rsidTr="006857B2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0811BDF" w14:textId="77777777" w:rsidR="00E65BB4" w:rsidRPr="009364F9" w:rsidRDefault="00E65BB4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Data quality</w:t>
            </w:r>
          </w:p>
        </w:tc>
        <w:tc>
          <w:tcPr>
            <w:tcW w:w="9498" w:type="dxa"/>
            <w:vAlign w:val="center"/>
          </w:tcPr>
          <w:p w14:paraId="7416EC23" w14:textId="77777777" w:rsidR="00E65BB4" w:rsidRPr="0002783D" w:rsidRDefault="00D22299" w:rsidP="00054B83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54" w:history="1">
              <w:r w:rsidR="00E65BB4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The importance of data quality</w:t>
              </w:r>
            </w:hyperlink>
            <w:r w:rsidR="00E65BB4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- Tips to help you avoid data entry errors on the Data Exchange.</w:t>
            </w:r>
          </w:p>
        </w:tc>
      </w:tr>
      <w:tr w:rsidR="00521281" w:rsidRPr="00D57A1B" w14:paraId="53F6EDD5" w14:textId="77777777" w:rsidTr="00685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979E686" w14:textId="77777777" w:rsidR="00521281" w:rsidRPr="009364F9" w:rsidRDefault="00521281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D</w:t>
            </w:r>
            <w:r w:rsidR="00284555" w:rsidRPr="009364F9">
              <w:rPr>
                <w:rFonts w:ascii="Arial" w:hAnsi="Arial" w:cs="Arial"/>
                <w:color w:val="auto"/>
                <w:sz w:val="28"/>
                <w:szCs w:val="28"/>
              </w:rPr>
              <w:t>EX webinar</w:t>
            </w: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s</w:t>
            </w:r>
          </w:p>
          <w:p w14:paraId="648D8F79" w14:textId="77777777" w:rsidR="00521281" w:rsidRPr="009364F9" w:rsidRDefault="00521281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14:paraId="25C60B45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55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1: Introduction to the Data Exchange</w:t>
              </w:r>
            </w:hyperlink>
          </w:p>
          <w:p w14:paraId="39AB28A3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56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2: Getting onto the Data Exchange</w:t>
              </w:r>
            </w:hyperlink>
          </w:p>
          <w:p w14:paraId="7642D57F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57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3: Set up your organisation and create outlets</w:t>
              </w:r>
            </w:hyperlink>
          </w:p>
          <w:p w14:paraId="7D0552A2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58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4: Consent and Privacy</w:t>
              </w:r>
            </w:hyperlink>
          </w:p>
          <w:p w14:paraId="50400776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59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5: Creating Cases, Sessions and Clients</w:t>
              </w:r>
            </w:hyperlink>
          </w:p>
          <w:p w14:paraId="436B2863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60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6: Creating Cases, Sessions and Clients in the Community Strengthening Stream</w:t>
              </w:r>
            </w:hyperlink>
          </w:p>
          <w:p w14:paraId="00F934BC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61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7: Creating Cases, Sessions and Clients in the Wellbeing and Safety Stream</w:t>
              </w:r>
            </w:hyperlink>
          </w:p>
          <w:p w14:paraId="7368D0CF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62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8: Creating Cases, Sessions and Clients for Sector Coordination and Planning</w:t>
              </w:r>
            </w:hyperlink>
          </w:p>
          <w:p w14:paraId="171F7E1A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63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9: Measuring Outcomes – SCORE for Individual Clients</w:t>
              </w:r>
            </w:hyperlink>
          </w:p>
          <w:p w14:paraId="2E3575DA" w14:textId="77777777" w:rsidR="00521281" w:rsidRPr="0002783D" w:rsidRDefault="00D22299" w:rsidP="00054B83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hyperlink r:id="rId64" w:tgtFrame="_blank" w:history="1">
              <w:r w:rsidR="00521281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Webinar 10: Measuring Outcomes – Community SCORE</w:t>
              </w:r>
            </w:hyperlink>
          </w:p>
        </w:tc>
      </w:tr>
      <w:tr w:rsidR="003542BD" w:rsidRPr="00D57A1B" w14:paraId="32D93049" w14:textId="77777777" w:rsidTr="006857B2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30EE2B7" w14:textId="77777777" w:rsidR="003542BD" w:rsidRPr="009364F9" w:rsidRDefault="003542BD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364F9">
              <w:rPr>
                <w:rFonts w:ascii="Arial" w:hAnsi="Arial" w:cs="Arial"/>
                <w:color w:val="auto"/>
                <w:sz w:val="28"/>
                <w:szCs w:val="28"/>
              </w:rPr>
              <w:t>Local data</w:t>
            </w:r>
          </w:p>
        </w:tc>
        <w:tc>
          <w:tcPr>
            <w:tcW w:w="9498" w:type="dxa"/>
            <w:vAlign w:val="center"/>
          </w:tcPr>
          <w:p w14:paraId="2D1C5442" w14:textId="77777777" w:rsidR="003542BD" w:rsidRPr="0002783D" w:rsidRDefault="00D22299" w:rsidP="00054B83">
            <w:pPr>
              <w:pStyle w:val="Heading2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65" w:history="1">
              <w:r w:rsidR="003542BD" w:rsidRPr="0002783D">
                <w:rPr>
                  <w:rStyle w:val="Hyperlink"/>
                  <w:rFonts w:ascii="Arial" w:hAnsi="Arial" w:cs="Arial"/>
                  <w:sz w:val="14"/>
                  <w:szCs w:val="14"/>
                </w:rPr>
                <w:t>Local data packs</w:t>
              </w:r>
            </w:hyperlink>
            <w:r w:rsidR="003542BD" w:rsidRPr="0002783D">
              <w:rPr>
                <w:rFonts w:ascii="Arial" w:hAnsi="Arial" w:cs="Arial"/>
                <w:color w:val="ED7D31" w:themeColor="accent2"/>
                <w:sz w:val="14"/>
                <w:szCs w:val="14"/>
              </w:rPr>
              <w:t> </w:t>
            </w:r>
            <w:r w:rsidR="003542BD" w:rsidRPr="0002783D">
              <w:rPr>
                <w:rFonts w:ascii="Arial" w:hAnsi="Arial" w:cs="Arial"/>
                <w:color w:val="000000" w:themeColor="text1"/>
                <w:sz w:val="14"/>
                <w:szCs w:val="14"/>
              </w:rPr>
              <w:t>- select your local district to access data about your area. You can use this data to develop your program logic.</w:t>
            </w:r>
          </w:p>
        </w:tc>
      </w:tr>
      <w:tr w:rsidR="00054B83" w:rsidRPr="00D57A1B" w14:paraId="1C683763" w14:textId="77777777" w:rsidTr="00151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11E1EDC" w14:textId="77777777" w:rsidR="00054B83" w:rsidRPr="009364F9" w:rsidRDefault="00E75347" w:rsidP="00054B83">
            <w:pPr>
              <w:pStyle w:val="Heading2"/>
              <w:keepNext w:val="0"/>
              <w:keepLines w:val="0"/>
              <w:spacing w:before="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Need h</w:t>
            </w:r>
            <w:r w:rsidR="00054B83" w:rsidRPr="009364F9">
              <w:rPr>
                <w:rFonts w:ascii="Arial" w:hAnsi="Arial" w:cs="Arial"/>
                <w:color w:val="auto"/>
                <w:sz w:val="28"/>
                <w:szCs w:val="28"/>
              </w:rPr>
              <w:t>elp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?</w:t>
            </w:r>
          </w:p>
        </w:tc>
        <w:tc>
          <w:tcPr>
            <w:tcW w:w="9498" w:type="dxa"/>
            <w:vAlign w:val="center"/>
          </w:tcPr>
          <w:p w14:paraId="0B92BC8F" w14:textId="77777777" w:rsidR="0031785A" w:rsidRDefault="0031785A" w:rsidP="003B17FB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Contact your contract manager</w:t>
            </w:r>
            <w:r w:rsidR="00EE0D2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in the first instance.</w:t>
            </w:r>
          </w:p>
          <w:p w14:paraId="17587D3D" w14:textId="77777777" w:rsidR="00E75347" w:rsidRDefault="00E75347" w:rsidP="003B17FB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54B83">
              <w:rPr>
                <w:rFonts w:ascii="Arial" w:hAnsi="Arial" w:cs="Arial"/>
                <w:color w:val="000000" w:themeColor="text1"/>
                <w:sz w:val="14"/>
                <w:szCs w:val="14"/>
              </w:rPr>
              <w:t>TEI mailbox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</w:t>
            </w:r>
            <w:hyperlink r:id="rId66" w:history="1">
              <w:r w:rsidR="00EE0D21" w:rsidRPr="00756DF6">
                <w:rPr>
                  <w:rStyle w:val="Hyperlink"/>
                  <w:rFonts w:ascii="Arial" w:hAnsi="Arial" w:cs="Arial"/>
                  <w:sz w:val="14"/>
                  <w:szCs w:val="14"/>
                </w:rPr>
                <w:t>TEI@dcj.nsw.gov.au</w:t>
              </w:r>
            </w:hyperlink>
            <w:r w:rsidR="00EE0D21">
              <w:rPr>
                <w:rFonts w:ascii="Arial" w:hAnsi="Arial" w:cs="Arial"/>
                <w:color w:val="000000" w:themeColor="text1"/>
                <w:sz w:val="14"/>
                <w:szCs w:val="14"/>
              </w:rPr>
              <w:t>. Contact us if your DEX or TEI question can’t be answered locally.</w:t>
            </w:r>
          </w:p>
          <w:p w14:paraId="38C944FC" w14:textId="77777777" w:rsidR="00054B83" w:rsidRPr="00E75347" w:rsidRDefault="00054B83" w:rsidP="00E75347">
            <w:pPr>
              <w:pStyle w:val="Heading2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after="40"/>
              <w:ind w:left="311" w:hanging="283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54B83">
              <w:rPr>
                <w:rFonts w:ascii="Arial" w:hAnsi="Arial" w:cs="Arial"/>
                <w:color w:val="000000" w:themeColor="text1"/>
                <w:sz w:val="14"/>
                <w:szCs w:val="14"/>
              </w:rPr>
              <w:t>DEX Helpdesk</w:t>
            </w:r>
            <w:r w:rsidR="00EE0D2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– 1800 020 283,</w:t>
            </w:r>
            <w:r w:rsidR="003B17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hyperlink r:id="rId67" w:history="1">
              <w:r w:rsidR="003B17FB" w:rsidRPr="00780210">
                <w:rPr>
                  <w:rStyle w:val="Hyperlink"/>
                  <w:rFonts w:ascii="Arial" w:hAnsi="Arial" w:cs="Arial"/>
                  <w:sz w:val="14"/>
                  <w:szCs w:val="14"/>
                </w:rPr>
                <w:t>dssdataexchange.helpdesk@dss.gov.au</w:t>
              </w:r>
            </w:hyperlink>
            <w:r w:rsidR="00EE0D21">
              <w:rPr>
                <w:rStyle w:val="Hyperlink"/>
                <w:rFonts w:ascii="Arial" w:hAnsi="Arial" w:cs="Arial"/>
                <w:sz w:val="14"/>
                <w:szCs w:val="14"/>
              </w:rPr>
              <w:t>.</w:t>
            </w:r>
            <w:r w:rsidR="00EE0D21">
              <w:rPr>
                <w:rStyle w:val="Hyperlink"/>
                <w:rFonts w:ascii="Arial" w:hAnsi="Arial" w:cs="Arial"/>
                <w:sz w:val="14"/>
                <w:szCs w:val="14"/>
                <w:u w:val="none"/>
              </w:rPr>
              <w:t xml:space="preserve"> </w:t>
            </w:r>
            <w:r w:rsidR="00EE0D21" w:rsidRPr="00EE0D21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  <w:t>Contact</w:t>
            </w:r>
            <w:r w:rsidR="003B17FB" w:rsidRPr="00EE0D21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  <w:r w:rsidR="00EE0D21">
              <w:rPr>
                <w:rFonts w:ascii="Arial" w:hAnsi="Arial" w:cs="Arial"/>
                <w:color w:val="auto"/>
                <w:sz w:val="14"/>
                <w:szCs w:val="14"/>
              </w:rPr>
              <w:t>the helpdesk for technical DEX questions.</w:t>
            </w:r>
          </w:p>
        </w:tc>
      </w:tr>
    </w:tbl>
    <w:p w14:paraId="6521A183" w14:textId="77777777" w:rsidR="00D10554" w:rsidRPr="008C6242" w:rsidRDefault="00856216" w:rsidP="00B955B1">
      <w:pPr>
        <w:pStyle w:val="Heading2"/>
        <w:spacing w:before="240"/>
        <w:ind w:left="-567"/>
        <w:rPr>
          <w:rFonts w:ascii="Arial" w:hAnsi="Arial" w:cs="Arial"/>
          <w:color w:val="ED7D31" w:themeColor="accent2"/>
          <w:sz w:val="18"/>
        </w:rPr>
      </w:pPr>
      <w:r>
        <w:rPr>
          <w:rFonts w:ascii="Arial" w:hAnsi="Arial" w:cs="Arial"/>
          <w:color w:val="auto"/>
          <w:sz w:val="14"/>
        </w:rPr>
        <w:t>Key</w:t>
      </w:r>
      <w:r w:rsidR="008C6242" w:rsidRPr="008C6242">
        <w:rPr>
          <w:rFonts w:ascii="Arial" w:hAnsi="Arial" w:cs="Arial"/>
          <w:color w:val="auto"/>
          <w:sz w:val="14"/>
        </w:rPr>
        <w:t xml:space="preserve"> resources on TEI Website -</w:t>
      </w:r>
      <w:r w:rsidR="008C6242" w:rsidRPr="008C6242">
        <w:rPr>
          <w:rFonts w:ascii="Arial" w:hAnsi="Arial" w:cs="Arial"/>
          <w:color w:val="ED7D31" w:themeColor="accent2"/>
          <w:sz w:val="14"/>
        </w:rPr>
        <w:t xml:space="preserve"> </w:t>
      </w:r>
      <w:hyperlink r:id="rId68" w:history="1">
        <w:r w:rsidRPr="006D3108">
          <w:rPr>
            <w:rStyle w:val="Hyperlink"/>
            <w:rFonts w:ascii="Arial" w:hAnsi="Arial" w:cs="Arial"/>
            <w:sz w:val="14"/>
          </w:rPr>
          <w:t>https://www.facs.nsw.gov.au/providers/children-families/early-intervention/TEI-program/chapters/key-tei-resources</w:t>
        </w:r>
      </w:hyperlink>
      <w:r>
        <w:rPr>
          <w:rFonts w:ascii="Arial" w:hAnsi="Arial" w:cs="Arial"/>
          <w:color w:val="ED7D31" w:themeColor="accent2"/>
          <w:sz w:val="14"/>
        </w:rPr>
        <w:t xml:space="preserve"> </w:t>
      </w:r>
      <w:r w:rsidR="008C6242" w:rsidRPr="008C6242">
        <w:rPr>
          <w:rFonts w:ascii="Arial" w:hAnsi="Arial" w:cs="Arial"/>
          <w:color w:val="ED7D31" w:themeColor="accent2"/>
          <w:sz w:val="14"/>
        </w:rPr>
        <w:t xml:space="preserve"> </w:t>
      </w:r>
    </w:p>
    <w:sectPr w:rsidR="00D10554" w:rsidRPr="008C6242" w:rsidSect="006857B2">
      <w:footerReference w:type="default" r:id="rId69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5D63E" w14:textId="77777777" w:rsidR="00284555" w:rsidRDefault="00284555" w:rsidP="00284555">
      <w:r>
        <w:separator/>
      </w:r>
    </w:p>
  </w:endnote>
  <w:endnote w:type="continuationSeparator" w:id="0">
    <w:p w14:paraId="5A53E6D6" w14:textId="77777777" w:rsidR="00284555" w:rsidRDefault="00284555" w:rsidP="0028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7453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DD494" w14:textId="7AACEFC6" w:rsidR="00284555" w:rsidRDefault="002845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0F773" w14:textId="77777777" w:rsidR="00284555" w:rsidRDefault="0028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00D7D" w14:textId="77777777" w:rsidR="00284555" w:rsidRDefault="00284555" w:rsidP="00284555">
      <w:r>
        <w:separator/>
      </w:r>
    </w:p>
  </w:footnote>
  <w:footnote w:type="continuationSeparator" w:id="0">
    <w:p w14:paraId="16C85B60" w14:textId="77777777" w:rsidR="00284555" w:rsidRDefault="00284555" w:rsidP="0028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89A"/>
    <w:multiLevelType w:val="multilevel"/>
    <w:tmpl w:val="952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049E"/>
    <w:multiLevelType w:val="hybridMultilevel"/>
    <w:tmpl w:val="850228C8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7BC5921"/>
    <w:multiLevelType w:val="hybridMultilevel"/>
    <w:tmpl w:val="FEB63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65E0"/>
    <w:multiLevelType w:val="multilevel"/>
    <w:tmpl w:val="1522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80A2D"/>
    <w:multiLevelType w:val="hybridMultilevel"/>
    <w:tmpl w:val="1B98FEF8"/>
    <w:lvl w:ilvl="0" w:tplc="084A3BD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3D0C"/>
    <w:multiLevelType w:val="multilevel"/>
    <w:tmpl w:val="905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73FC9"/>
    <w:multiLevelType w:val="multilevel"/>
    <w:tmpl w:val="729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B013F"/>
    <w:multiLevelType w:val="hybridMultilevel"/>
    <w:tmpl w:val="AEB622FE"/>
    <w:lvl w:ilvl="0" w:tplc="0C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1A962B89"/>
    <w:multiLevelType w:val="multilevel"/>
    <w:tmpl w:val="C65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B197A"/>
    <w:multiLevelType w:val="multilevel"/>
    <w:tmpl w:val="380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F106F"/>
    <w:multiLevelType w:val="multilevel"/>
    <w:tmpl w:val="469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27764"/>
    <w:multiLevelType w:val="hybridMultilevel"/>
    <w:tmpl w:val="A1909C82"/>
    <w:lvl w:ilvl="0" w:tplc="B3AEBE6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564D3"/>
    <w:multiLevelType w:val="hybridMultilevel"/>
    <w:tmpl w:val="9F5AB012"/>
    <w:lvl w:ilvl="0" w:tplc="492EE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C0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4F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4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4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68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AD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F92B81"/>
    <w:multiLevelType w:val="hybridMultilevel"/>
    <w:tmpl w:val="64EAF55A"/>
    <w:lvl w:ilvl="0" w:tplc="084A3BD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26B"/>
    <w:multiLevelType w:val="multilevel"/>
    <w:tmpl w:val="396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B5CE2"/>
    <w:multiLevelType w:val="hybridMultilevel"/>
    <w:tmpl w:val="FD0C4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94B7C"/>
    <w:multiLevelType w:val="hybridMultilevel"/>
    <w:tmpl w:val="43CEA534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6414A97"/>
    <w:multiLevelType w:val="multilevel"/>
    <w:tmpl w:val="156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22DF6"/>
    <w:multiLevelType w:val="multilevel"/>
    <w:tmpl w:val="CF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86A14"/>
    <w:multiLevelType w:val="multilevel"/>
    <w:tmpl w:val="B20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54229"/>
    <w:multiLevelType w:val="hybridMultilevel"/>
    <w:tmpl w:val="D1A89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6BE2"/>
    <w:multiLevelType w:val="multilevel"/>
    <w:tmpl w:val="DCF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F5FB9"/>
    <w:multiLevelType w:val="multilevel"/>
    <w:tmpl w:val="F1D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23002"/>
    <w:multiLevelType w:val="multilevel"/>
    <w:tmpl w:val="CDE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214CC"/>
    <w:multiLevelType w:val="hybridMultilevel"/>
    <w:tmpl w:val="190A128C"/>
    <w:lvl w:ilvl="0" w:tplc="084A3BDC">
      <w:start w:val="1"/>
      <w:numFmt w:val="bullet"/>
      <w:lvlText w:val="-"/>
      <w:lvlJc w:val="left"/>
      <w:pPr>
        <w:ind w:left="1440" w:hanging="360"/>
      </w:pPr>
      <w:rPr>
        <w:rFonts w:ascii="Arial Black" w:hAnsi="Arial Black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6676A"/>
    <w:multiLevelType w:val="multilevel"/>
    <w:tmpl w:val="590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20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  <w:num w:numId="15">
    <w:abstractNumId w:val="25"/>
  </w:num>
  <w:num w:numId="16">
    <w:abstractNumId w:val="5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0"/>
  </w:num>
  <w:num w:numId="22">
    <w:abstractNumId w:val="23"/>
  </w:num>
  <w:num w:numId="23">
    <w:abstractNumId w:val="3"/>
  </w:num>
  <w:num w:numId="24">
    <w:abstractNumId w:val="16"/>
  </w:num>
  <w:num w:numId="25">
    <w:abstractNumId w:val="1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F8"/>
    <w:rsid w:val="00010F56"/>
    <w:rsid w:val="0002783D"/>
    <w:rsid w:val="00041588"/>
    <w:rsid w:val="00054B83"/>
    <w:rsid w:val="00057F87"/>
    <w:rsid w:val="000A7D7B"/>
    <w:rsid w:val="000D7DC7"/>
    <w:rsid w:val="001519F6"/>
    <w:rsid w:val="00196F65"/>
    <w:rsid w:val="001D21A1"/>
    <w:rsid w:val="00241D59"/>
    <w:rsid w:val="002601FA"/>
    <w:rsid w:val="00260C5E"/>
    <w:rsid w:val="002624F8"/>
    <w:rsid w:val="00274157"/>
    <w:rsid w:val="00281E24"/>
    <w:rsid w:val="00284555"/>
    <w:rsid w:val="0028586C"/>
    <w:rsid w:val="002A0E2F"/>
    <w:rsid w:val="002A7857"/>
    <w:rsid w:val="002C7994"/>
    <w:rsid w:val="002D4151"/>
    <w:rsid w:val="002E48B0"/>
    <w:rsid w:val="0031785A"/>
    <w:rsid w:val="00322784"/>
    <w:rsid w:val="003542BD"/>
    <w:rsid w:val="00361FC9"/>
    <w:rsid w:val="00363AC1"/>
    <w:rsid w:val="00391987"/>
    <w:rsid w:val="00396C1A"/>
    <w:rsid w:val="003B17FB"/>
    <w:rsid w:val="003D6B40"/>
    <w:rsid w:val="003E09A2"/>
    <w:rsid w:val="003E5670"/>
    <w:rsid w:val="003E767C"/>
    <w:rsid w:val="00415FDB"/>
    <w:rsid w:val="00425B52"/>
    <w:rsid w:val="004575B4"/>
    <w:rsid w:val="00483810"/>
    <w:rsid w:val="004C2FEF"/>
    <w:rsid w:val="004C5AC2"/>
    <w:rsid w:val="00520889"/>
    <w:rsid w:val="00521281"/>
    <w:rsid w:val="00583D85"/>
    <w:rsid w:val="00584772"/>
    <w:rsid w:val="00597A2C"/>
    <w:rsid w:val="005A6F2B"/>
    <w:rsid w:val="005C3404"/>
    <w:rsid w:val="005E1334"/>
    <w:rsid w:val="00676E88"/>
    <w:rsid w:val="00683F20"/>
    <w:rsid w:val="006857B2"/>
    <w:rsid w:val="00686F85"/>
    <w:rsid w:val="006B3776"/>
    <w:rsid w:val="006E125C"/>
    <w:rsid w:val="00737AA9"/>
    <w:rsid w:val="00774E63"/>
    <w:rsid w:val="00783D10"/>
    <w:rsid w:val="007C6FC8"/>
    <w:rsid w:val="007C7E7E"/>
    <w:rsid w:val="00804AF4"/>
    <w:rsid w:val="00805DC1"/>
    <w:rsid w:val="00806F9E"/>
    <w:rsid w:val="00841A58"/>
    <w:rsid w:val="00847E50"/>
    <w:rsid w:val="00856216"/>
    <w:rsid w:val="008B5E61"/>
    <w:rsid w:val="008C6242"/>
    <w:rsid w:val="008C7CE6"/>
    <w:rsid w:val="0091674F"/>
    <w:rsid w:val="00923600"/>
    <w:rsid w:val="00923D78"/>
    <w:rsid w:val="009364F9"/>
    <w:rsid w:val="0094665C"/>
    <w:rsid w:val="009A2B61"/>
    <w:rsid w:val="00A32722"/>
    <w:rsid w:val="00A475F3"/>
    <w:rsid w:val="00A74601"/>
    <w:rsid w:val="00A80BAC"/>
    <w:rsid w:val="00A921A6"/>
    <w:rsid w:val="00A92ED6"/>
    <w:rsid w:val="00AC698D"/>
    <w:rsid w:val="00AD0BC4"/>
    <w:rsid w:val="00B571E9"/>
    <w:rsid w:val="00B955B1"/>
    <w:rsid w:val="00BA184C"/>
    <w:rsid w:val="00BA3F8F"/>
    <w:rsid w:val="00BB7B6A"/>
    <w:rsid w:val="00BD4444"/>
    <w:rsid w:val="00BF40B1"/>
    <w:rsid w:val="00C01BC1"/>
    <w:rsid w:val="00C21689"/>
    <w:rsid w:val="00C3237B"/>
    <w:rsid w:val="00C46F64"/>
    <w:rsid w:val="00C543B5"/>
    <w:rsid w:val="00C965E9"/>
    <w:rsid w:val="00CB7D5A"/>
    <w:rsid w:val="00D10554"/>
    <w:rsid w:val="00D22299"/>
    <w:rsid w:val="00D279BD"/>
    <w:rsid w:val="00D57A1B"/>
    <w:rsid w:val="00DA0320"/>
    <w:rsid w:val="00DB21E9"/>
    <w:rsid w:val="00DE4247"/>
    <w:rsid w:val="00E4298D"/>
    <w:rsid w:val="00E65BB4"/>
    <w:rsid w:val="00E75347"/>
    <w:rsid w:val="00EE0D21"/>
    <w:rsid w:val="00E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38A9"/>
  <w15:chartTrackingRefBased/>
  <w15:docId w15:val="{FFFE2D94-CF11-4E02-A034-852AA97C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4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4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24F8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62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624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62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qFormat/>
    <w:rsid w:val="002624F8"/>
    <w:pPr>
      <w:spacing w:before="80" w:line="260" w:lineRule="atLeast"/>
    </w:pPr>
    <w:rPr>
      <w:rFonts w:ascii="Arial" w:eastAsia="Times New Roman" w:hAnsi="Arial"/>
    </w:rPr>
  </w:style>
  <w:style w:type="character" w:customStyle="1" w:styleId="BodyTextChar">
    <w:name w:val="Body Text Char"/>
    <w:basedOn w:val="DefaultParagraphFont"/>
    <w:link w:val="BodyText"/>
    <w:rsid w:val="002624F8"/>
    <w:rPr>
      <w:rFonts w:ascii="Arial" w:eastAsia="Times New Roman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921A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1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5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55"/>
    <w:rPr>
      <w:rFonts w:ascii="Calibri" w:hAnsi="Calibri" w:cs="Times New Roman"/>
    </w:rPr>
  </w:style>
  <w:style w:type="table" w:styleId="GridTable2-Accent5">
    <w:name w:val="Grid Table 2 Accent 5"/>
    <w:basedOn w:val="TableNormal"/>
    <w:uiPriority w:val="47"/>
    <w:rsid w:val="008C7C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7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81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1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s.nsw.gov.au/download?file=731563" TargetMode="External"/><Relationship Id="rId18" Type="http://schemas.openxmlformats.org/officeDocument/2006/relationships/hyperlink" Target="https://www.facs.nsw.gov.au/download?file=784962" TargetMode="External"/><Relationship Id="rId26" Type="http://schemas.openxmlformats.org/officeDocument/2006/relationships/hyperlink" Target="https://www.facs.nsw.gov.au/download?file=727030" TargetMode="External"/><Relationship Id="rId39" Type="http://schemas.openxmlformats.org/officeDocument/2006/relationships/hyperlink" Target="https://dex.dss.gov.au/document/291" TargetMode="External"/><Relationship Id="rId21" Type="http://schemas.openxmlformats.org/officeDocument/2006/relationships/hyperlink" Target="https://www.facs.nsw.gov.au/download?file=773718" TargetMode="External"/><Relationship Id="rId34" Type="http://schemas.openxmlformats.org/officeDocument/2006/relationships/hyperlink" Target="http://ngolearning.com.au/http-ngolearning-com-au-files-online-classroom-tei-story-html-2/" TargetMode="External"/><Relationship Id="rId42" Type="http://schemas.openxmlformats.org/officeDocument/2006/relationships/hyperlink" Target="https://dex.dss.gov.au/document/121" TargetMode="External"/><Relationship Id="rId47" Type="http://schemas.openxmlformats.org/officeDocument/2006/relationships/hyperlink" Target="https://www.facs.nsw.gov.au/download?file=787492" TargetMode="External"/><Relationship Id="rId50" Type="http://schemas.openxmlformats.org/officeDocument/2006/relationships/hyperlink" Target="https://www.facs.nsw.gov.au/download?file=809662" TargetMode="External"/><Relationship Id="rId55" Type="http://schemas.openxmlformats.org/officeDocument/2006/relationships/hyperlink" Target="https://www.facs.nsw.gov.au/download?file=797912" TargetMode="External"/><Relationship Id="rId63" Type="http://schemas.openxmlformats.org/officeDocument/2006/relationships/hyperlink" Target="https://www.facs.nsw.gov.au/download?file=797920" TargetMode="External"/><Relationship Id="rId68" Type="http://schemas.openxmlformats.org/officeDocument/2006/relationships/hyperlink" Target="https://www.facs.nsw.gov.au/providers/children-families/early-intervention/TEI-program/chapters/key-tei-resources" TargetMode="Externa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x.dss.gov.au/document/316" TargetMode="External"/><Relationship Id="rId29" Type="http://schemas.openxmlformats.org/officeDocument/2006/relationships/hyperlink" Target="https://www.facs.nsw.gov.au/download?file=7874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s.nsw.gov.au/download?file=679857" TargetMode="External"/><Relationship Id="rId24" Type="http://schemas.openxmlformats.org/officeDocument/2006/relationships/hyperlink" Target="https://www.facs.nsw.gov.au/download?file=773717" TargetMode="External"/><Relationship Id="rId32" Type="http://schemas.openxmlformats.org/officeDocument/2006/relationships/hyperlink" Target="https://www.facs.nsw.gov.au/download?file=808027" TargetMode="External"/><Relationship Id="rId37" Type="http://schemas.openxmlformats.org/officeDocument/2006/relationships/hyperlink" Target="https://www.facs.nsw.gov.au/download?file=778254" TargetMode="External"/><Relationship Id="rId40" Type="http://schemas.openxmlformats.org/officeDocument/2006/relationships/hyperlink" Target="https://dex.dss.gov.au/document/301" TargetMode="External"/><Relationship Id="rId45" Type="http://schemas.openxmlformats.org/officeDocument/2006/relationships/hyperlink" Target="https://dex.dss.gov.au/document/126" TargetMode="External"/><Relationship Id="rId53" Type="http://schemas.openxmlformats.org/officeDocument/2006/relationships/hyperlink" Target="https://dex.dss.gov.au/document/906" TargetMode="External"/><Relationship Id="rId58" Type="http://schemas.openxmlformats.org/officeDocument/2006/relationships/hyperlink" Target="https://www.facs.nsw.gov.au/download?file=797916" TargetMode="External"/><Relationship Id="rId66" Type="http://schemas.openxmlformats.org/officeDocument/2006/relationships/hyperlink" Target="mailto:TEI@dcj.nsw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s.nsw.gov.au/download?file=784962" TargetMode="External"/><Relationship Id="rId23" Type="http://schemas.openxmlformats.org/officeDocument/2006/relationships/hyperlink" Target="https://www.facs.nsw.gov.au/download?file=778320" TargetMode="External"/><Relationship Id="rId28" Type="http://schemas.openxmlformats.org/officeDocument/2006/relationships/hyperlink" Target="https://www.facs.nsw.gov.au/download?file=773717" TargetMode="External"/><Relationship Id="rId36" Type="http://schemas.openxmlformats.org/officeDocument/2006/relationships/hyperlink" Target="https://www.facs.nsw.gov.au/download?file=776047" TargetMode="External"/><Relationship Id="rId49" Type="http://schemas.openxmlformats.org/officeDocument/2006/relationships/hyperlink" Target="https://www.facs.nsw.gov.au/download?file=809660" TargetMode="External"/><Relationship Id="rId57" Type="http://schemas.openxmlformats.org/officeDocument/2006/relationships/hyperlink" Target="https://www.facs.nsw.gov.au/download?file=797915" TargetMode="External"/><Relationship Id="rId61" Type="http://schemas.openxmlformats.org/officeDocument/2006/relationships/hyperlink" Target="https://www.facs.nsw.gov.au/download?file=797919" TargetMode="External"/><Relationship Id="rId10" Type="http://schemas.openxmlformats.org/officeDocument/2006/relationships/hyperlink" Target="https://www.facs.nsw.gov.au/download?file=679896" TargetMode="External"/><Relationship Id="rId19" Type="http://schemas.openxmlformats.org/officeDocument/2006/relationships/hyperlink" Target="https://dex.dss.gov.au/dex-user-access-request-form" TargetMode="External"/><Relationship Id="rId31" Type="http://schemas.openxmlformats.org/officeDocument/2006/relationships/hyperlink" Target="https://www.facs.nsw.gov.au/download?file=808025" TargetMode="External"/><Relationship Id="rId44" Type="http://schemas.openxmlformats.org/officeDocument/2006/relationships/hyperlink" Target="https://dex.dss.gov.au/document/131" TargetMode="External"/><Relationship Id="rId52" Type="http://schemas.openxmlformats.org/officeDocument/2006/relationships/hyperlink" Target="https://www.facs.nsw.gov.au/download?file=809665" TargetMode="External"/><Relationship Id="rId60" Type="http://schemas.openxmlformats.org/officeDocument/2006/relationships/hyperlink" Target="https://www.facs.nsw.gov.au/download?file=797918" TargetMode="External"/><Relationship Id="rId65" Type="http://schemas.openxmlformats.org/officeDocument/2006/relationships/hyperlink" Target="https://www.facs.nsw.gov.au/providers/children-families/early-intervention/TEI-program/chapters/understanding-need-in-your-local-a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x.dss.gov.au/document/476" TargetMode="External"/><Relationship Id="rId14" Type="http://schemas.openxmlformats.org/officeDocument/2006/relationships/hyperlink" Target="https://dex.dss.gov.au/document/826" TargetMode="External"/><Relationship Id="rId22" Type="http://schemas.openxmlformats.org/officeDocument/2006/relationships/hyperlink" Target="https://www.facs.nsw.gov.au/download?file=791474" TargetMode="External"/><Relationship Id="rId27" Type="http://schemas.openxmlformats.org/officeDocument/2006/relationships/hyperlink" Target="https://www.facs.nsw.gov.au/download?file=773746" TargetMode="External"/><Relationship Id="rId30" Type="http://schemas.openxmlformats.org/officeDocument/2006/relationships/hyperlink" Target="https://www.facs.nsw.gov.au/providers/children-families/early-intervention/TEI-program/chapters/key-tei-resources" TargetMode="External"/><Relationship Id="rId35" Type="http://schemas.openxmlformats.org/officeDocument/2006/relationships/hyperlink" Target="https://www.facs.nsw.gov.au/download?file=776048" TargetMode="External"/><Relationship Id="rId43" Type="http://schemas.openxmlformats.org/officeDocument/2006/relationships/hyperlink" Target="https://dex.dss.gov.au/document/261" TargetMode="External"/><Relationship Id="rId48" Type="http://schemas.openxmlformats.org/officeDocument/2006/relationships/hyperlink" Target="https://www.facs.nsw.gov.au/download?file=787491" TargetMode="External"/><Relationship Id="rId56" Type="http://schemas.openxmlformats.org/officeDocument/2006/relationships/hyperlink" Target="https://www.facs.nsw.gov.au/download?file=797913" TargetMode="External"/><Relationship Id="rId64" Type="http://schemas.openxmlformats.org/officeDocument/2006/relationships/hyperlink" Target="https://www.facs.nsw.gov.au/download?file=797921" TargetMode="External"/><Relationship Id="rId69" Type="http://schemas.openxmlformats.org/officeDocument/2006/relationships/footer" Target="footer1.xml"/><Relationship Id="rId8" Type="http://schemas.openxmlformats.org/officeDocument/2006/relationships/hyperlink" Target="https://dex.dss.gov.au/document/81" TargetMode="External"/><Relationship Id="rId51" Type="http://schemas.openxmlformats.org/officeDocument/2006/relationships/hyperlink" Target="https://www.facs.nsw.gov.au/download?file=8096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s.nsw.gov.au/providers/children-families/early-intervention/TEI-program/chapters/program-logic" TargetMode="External"/><Relationship Id="rId17" Type="http://schemas.openxmlformats.org/officeDocument/2006/relationships/hyperlink" Target="https://www.facs.nsw.gov.au/download?file=785709" TargetMode="External"/><Relationship Id="rId25" Type="http://schemas.openxmlformats.org/officeDocument/2006/relationships/hyperlink" Target="https://dex.dss.gov.au/document/536" TargetMode="External"/><Relationship Id="rId33" Type="http://schemas.openxmlformats.org/officeDocument/2006/relationships/hyperlink" Target="https://www.facs.nsw.gov.au/download?file=823073" TargetMode="External"/><Relationship Id="rId38" Type="http://schemas.openxmlformats.org/officeDocument/2006/relationships/hyperlink" Target="https://dex.dss.gov.au/document/796" TargetMode="External"/><Relationship Id="rId46" Type="http://schemas.openxmlformats.org/officeDocument/2006/relationships/hyperlink" Target="https://www.facs.nsw.gov.au/download?file=727030" TargetMode="External"/><Relationship Id="rId59" Type="http://schemas.openxmlformats.org/officeDocument/2006/relationships/hyperlink" Target="https://www.facs.nsw.gov.au/download?file=797917" TargetMode="External"/><Relationship Id="rId67" Type="http://schemas.openxmlformats.org/officeDocument/2006/relationships/hyperlink" Target="mailto:dssdataexchange.helpdesk@dss.gov.au" TargetMode="External"/><Relationship Id="rId20" Type="http://schemas.openxmlformats.org/officeDocument/2006/relationships/hyperlink" Target="https://www.facs.nsw.gov.au/download?file=778253" TargetMode="External"/><Relationship Id="rId41" Type="http://schemas.openxmlformats.org/officeDocument/2006/relationships/hyperlink" Target="https://dex.dss.gov.au/document/296" TargetMode="External"/><Relationship Id="rId54" Type="http://schemas.openxmlformats.org/officeDocument/2006/relationships/hyperlink" Target="https://dex.dss.gov.au/document/516" TargetMode="External"/><Relationship Id="rId62" Type="http://schemas.openxmlformats.org/officeDocument/2006/relationships/hyperlink" Target="https://www.facs.nsw.gov.au/download?file=79983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Schroder</dc:creator>
  <cp:keywords/>
  <dc:description/>
  <cp:lastModifiedBy>Claire Sessions</cp:lastModifiedBy>
  <cp:revision>25</cp:revision>
  <cp:lastPrinted>2021-11-23T23:17:00Z</cp:lastPrinted>
  <dcterms:created xsi:type="dcterms:W3CDTF">2021-12-09T03:56:00Z</dcterms:created>
  <dcterms:modified xsi:type="dcterms:W3CDTF">2021-12-20T00:24:00Z</dcterms:modified>
</cp:coreProperties>
</file>