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43" w:rsidRPr="00294406" w:rsidRDefault="005A2043" w:rsidP="00294406">
      <w:pPr>
        <w:pStyle w:val="Heading1"/>
        <w:keepNext/>
        <w:spacing w:before="160" w:after="60" w:line="240" w:lineRule="auto"/>
        <w:contextualSpacing w:val="0"/>
        <w:rPr>
          <w:rFonts w:eastAsia="Times New Roman" w:cs="Arial"/>
          <w:b w:val="0"/>
          <w:color w:val="002664"/>
          <w:kern w:val="32"/>
          <w:sz w:val="52"/>
          <w:szCs w:val="32"/>
          <w:lang w:eastAsia="en-AU"/>
        </w:rPr>
      </w:pPr>
      <w:r w:rsidRPr="00294406">
        <w:rPr>
          <w:rFonts w:eastAsia="Times New Roman" w:cs="Arial"/>
          <w:b w:val="0"/>
          <w:color w:val="002664"/>
          <w:kern w:val="32"/>
          <w:sz w:val="52"/>
          <w:szCs w:val="32"/>
          <w:lang w:eastAsia="en-AU"/>
        </w:rPr>
        <w:t xml:space="preserve">Review of the </w:t>
      </w:r>
      <w:r w:rsidR="00294406">
        <w:rPr>
          <w:rFonts w:eastAsia="Times New Roman" w:cs="Arial"/>
          <w:b w:val="0"/>
          <w:color w:val="002664"/>
          <w:kern w:val="32"/>
          <w:sz w:val="52"/>
          <w:szCs w:val="32"/>
          <w:lang w:eastAsia="en-AU"/>
        </w:rPr>
        <w:t xml:space="preserve">National Regulatory System for Community Housing </w:t>
      </w:r>
    </w:p>
    <w:p w:rsidR="005A2043" w:rsidRPr="00294406" w:rsidRDefault="005A2043" w:rsidP="00294406">
      <w:pPr>
        <w:pStyle w:val="Heading1"/>
        <w:keepNext/>
        <w:spacing w:before="160" w:after="60" w:line="240" w:lineRule="auto"/>
        <w:contextualSpacing w:val="0"/>
        <w:rPr>
          <w:rFonts w:eastAsia="Times New Roman" w:cs="Arial"/>
          <w:b w:val="0"/>
          <w:color w:val="002664"/>
          <w:kern w:val="32"/>
          <w:sz w:val="52"/>
          <w:szCs w:val="32"/>
          <w:lang w:eastAsia="en-AU"/>
        </w:rPr>
      </w:pPr>
      <w:r w:rsidRPr="00294406">
        <w:rPr>
          <w:rFonts w:eastAsia="Times New Roman" w:cs="Arial"/>
          <w:b w:val="0"/>
          <w:color w:val="002664"/>
          <w:kern w:val="32"/>
          <w:sz w:val="52"/>
          <w:szCs w:val="32"/>
          <w:lang w:eastAsia="en-AU"/>
        </w:rPr>
        <w:t>Terms of Reference</w:t>
      </w:r>
    </w:p>
    <w:p w:rsidR="005A2043" w:rsidRPr="00294406" w:rsidRDefault="005A2043" w:rsidP="00294406">
      <w:pPr>
        <w:pStyle w:val="Heading2"/>
        <w:keepNext/>
        <w:spacing w:before="240" w:after="60"/>
        <w:rPr>
          <w:rFonts w:eastAsia="Times New Roman" w:cs="Arial"/>
          <w:iCs/>
          <w:color w:val="002664"/>
          <w:sz w:val="32"/>
          <w:szCs w:val="28"/>
          <w:lang w:eastAsia="en-AU"/>
        </w:rPr>
      </w:pPr>
      <w:r w:rsidRPr="00294406">
        <w:rPr>
          <w:rFonts w:eastAsia="Times New Roman" w:cs="Arial"/>
          <w:iCs/>
          <w:color w:val="002664"/>
          <w:sz w:val="32"/>
          <w:szCs w:val="28"/>
          <w:lang w:eastAsia="en-AU"/>
        </w:rPr>
        <w:t>Context</w:t>
      </w:r>
    </w:p>
    <w:p w:rsidR="00856E3E" w:rsidRPr="00BB7367" w:rsidRDefault="00856E3E" w:rsidP="00294406">
      <w:pPr>
        <w:spacing w:before="160" w:after="160"/>
        <w:rPr>
          <w:sz w:val="24"/>
          <w:szCs w:val="24"/>
        </w:rPr>
      </w:pPr>
      <w:r w:rsidRPr="00BB7367">
        <w:rPr>
          <w:sz w:val="24"/>
          <w:szCs w:val="24"/>
        </w:rPr>
        <w:t>In 2014 t</w:t>
      </w:r>
      <w:r w:rsidR="005A2043" w:rsidRPr="00BB7367">
        <w:rPr>
          <w:sz w:val="24"/>
          <w:szCs w:val="24"/>
        </w:rPr>
        <w:t>he National Regulatory System for Community Ho</w:t>
      </w:r>
      <w:r w:rsidRPr="00BB7367">
        <w:rPr>
          <w:sz w:val="24"/>
          <w:szCs w:val="24"/>
        </w:rPr>
        <w:t>using (NRSCH) was introduced</w:t>
      </w:r>
      <w:r w:rsidR="005A2043" w:rsidRPr="00BB7367">
        <w:rPr>
          <w:sz w:val="24"/>
          <w:szCs w:val="24"/>
        </w:rPr>
        <w:t xml:space="preserve"> to </w:t>
      </w:r>
      <w:r w:rsidR="005A2043" w:rsidRPr="00BB7367">
        <w:rPr>
          <w:sz w:val="24"/>
          <w:szCs w:val="24"/>
          <w:lang w:val="en"/>
        </w:rPr>
        <w:t xml:space="preserve">ensure a well governed, well managed and viable community housing sector </w:t>
      </w:r>
      <w:r w:rsidR="00333688" w:rsidRPr="00BB7367">
        <w:rPr>
          <w:sz w:val="24"/>
          <w:szCs w:val="24"/>
          <w:lang w:val="en"/>
        </w:rPr>
        <w:t xml:space="preserve">as well as </w:t>
      </w:r>
      <w:r w:rsidR="005A2043" w:rsidRPr="00BB7367">
        <w:rPr>
          <w:sz w:val="24"/>
          <w:szCs w:val="24"/>
        </w:rPr>
        <w:t xml:space="preserve">reduce the regulatory burden for community housing providers (CHPs) operating across jurisdictions. </w:t>
      </w:r>
    </w:p>
    <w:p w:rsidR="00D8745D" w:rsidRDefault="005A2043" w:rsidP="00294406">
      <w:pPr>
        <w:spacing w:before="160" w:after="160"/>
        <w:rPr>
          <w:sz w:val="24"/>
          <w:szCs w:val="24"/>
        </w:rPr>
      </w:pPr>
      <w:r w:rsidRPr="00BB7367">
        <w:rPr>
          <w:sz w:val="24"/>
          <w:szCs w:val="24"/>
        </w:rPr>
        <w:t xml:space="preserve">In August 2012, the NSW Parliament, acting as the ‘host jurisdiction’, enacted the National Law through passing the </w:t>
      </w:r>
      <w:r w:rsidRPr="00BB7367">
        <w:rPr>
          <w:i/>
          <w:sz w:val="24"/>
          <w:szCs w:val="24"/>
        </w:rPr>
        <w:t xml:space="preserve">Community Housing Providers (Adoption of National Law) Act 2012 </w:t>
      </w:r>
      <w:r w:rsidRPr="00BB7367">
        <w:rPr>
          <w:sz w:val="24"/>
          <w:szCs w:val="24"/>
        </w:rPr>
        <w:t xml:space="preserve">(the Act). </w:t>
      </w:r>
      <w:r w:rsidR="00D8745D">
        <w:rPr>
          <w:sz w:val="24"/>
          <w:szCs w:val="24"/>
        </w:rPr>
        <w:t>On 1 January 2014 t</w:t>
      </w:r>
      <w:r w:rsidRPr="00BB7367">
        <w:rPr>
          <w:sz w:val="24"/>
          <w:szCs w:val="24"/>
        </w:rPr>
        <w:t xml:space="preserve">he legislation commenced. </w:t>
      </w:r>
    </w:p>
    <w:p w:rsidR="005A2043" w:rsidRDefault="005A2043" w:rsidP="00294406">
      <w:pPr>
        <w:spacing w:before="160" w:after="160"/>
        <w:rPr>
          <w:sz w:val="24"/>
          <w:szCs w:val="24"/>
        </w:rPr>
      </w:pPr>
      <w:r w:rsidRPr="00BB7367">
        <w:rPr>
          <w:sz w:val="24"/>
          <w:szCs w:val="24"/>
        </w:rPr>
        <w:t>As of 2018, all states and t</w:t>
      </w:r>
      <w:r w:rsidR="009946E0">
        <w:rPr>
          <w:sz w:val="24"/>
          <w:szCs w:val="24"/>
        </w:rPr>
        <w:t xml:space="preserve">erritories, except Victoria </w:t>
      </w:r>
      <w:r w:rsidRPr="00BB7367">
        <w:rPr>
          <w:sz w:val="24"/>
          <w:szCs w:val="24"/>
        </w:rPr>
        <w:t xml:space="preserve">and Western Australia, have adopted the NRSCH through the passage of National Law </w:t>
      </w:r>
      <w:r w:rsidR="00063AA3">
        <w:rPr>
          <w:sz w:val="24"/>
          <w:szCs w:val="24"/>
        </w:rPr>
        <w:t>legislation</w:t>
      </w:r>
      <w:r w:rsidR="00063AA3" w:rsidRPr="00BB7367">
        <w:rPr>
          <w:sz w:val="24"/>
          <w:szCs w:val="24"/>
        </w:rPr>
        <w:t xml:space="preserve"> </w:t>
      </w:r>
      <w:r w:rsidRPr="00BB7367">
        <w:rPr>
          <w:sz w:val="24"/>
          <w:szCs w:val="24"/>
        </w:rPr>
        <w:t>in their respective Parliaments</w:t>
      </w:r>
      <w:r w:rsidR="003C6909">
        <w:rPr>
          <w:rStyle w:val="FootnoteReference"/>
          <w:sz w:val="24"/>
          <w:szCs w:val="24"/>
        </w:rPr>
        <w:footnoteReference w:id="1"/>
      </w:r>
      <w:r w:rsidRPr="00BB7367">
        <w:rPr>
          <w:sz w:val="24"/>
          <w:szCs w:val="24"/>
        </w:rPr>
        <w:t xml:space="preserve">. </w:t>
      </w:r>
    </w:p>
    <w:p w:rsidR="00AF76D3" w:rsidRPr="00BB7367" w:rsidRDefault="00AF76D3" w:rsidP="00294406">
      <w:pPr>
        <w:spacing w:before="160" w:after="160"/>
        <w:rPr>
          <w:sz w:val="24"/>
          <w:szCs w:val="24"/>
        </w:rPr>
      </w:pPr>
      <w:r w:rsidRPr="00BB7367">
        <w:rPr>
          <w:sz w:val="24"/>
          <w:szCs w:val="24"/>
        </w:rPr>
        <w:t>Clause 8.1 of the</w:t>
      </w:r>
      <w:r w:rsidR="006623DF">
        <w:rPr>
          <w:sz w:val="24"/>
          <w:szCs w:val="24"/>
        </w:rPr>
        <w:t xml:space="preserve"> </w:t>
      </w:r>
      <w:r w:rsidRPr="00BB7367">
        <w:rPr>
          <w:i/>
          <w:sz w:val="24"/>
          <w:szCs w:val="24"/>
        </w:rPr>
        <w:t>Inter-Government Agreement for a National Regulatory System for Community Housing Providers</w:t>
      </w:r>
      <w:r w:rsidR="006623DF">
        <w:rPr>
          <w:rStyle w:val="FootnoteReference"/>
          <w:i/>
          <w:sz w:val="24"/>
          <w:szCs w:val="24"/>
        </w:rPr>
        <w:footnoteReference w:id="2"/>
      </w:r>
      <w:r w:rsidRPr="00BB7367">
        <w:rPr>
          <w:sz w:val="24"/>
          <w:szCs w:val="24"/>
        </w:rPr>
        <w:t xml:space="preserve"> </w:t>
      </w:r>
      <w:r w:rsidR="00157BFD">
        <w:rPr>
          <w:sz w:val="24"/>
          <w:szCs w:val="24"/>
        </w:rPr>
        <w:t>(IGA)</w:t>
      </w:r>
      <w:r w:rsidR="0008725F">
        <w:rPr>
          <w:sz w:val="24"/>
          <w:szCs w:val="24"/>
        </w:rPr>
        <w:t xml:space="preserve"> </w:t>
      </w:r>
      <w:r w:rsidRPr="00BB7367">
        <w:rPr>
          <w:sz w:val="24"/>
          <w:szCs w:val="24"/>
        </w:rPr>
        <w:t xml:space="preserve">requires </w:t>
      </w:r>
      <w:r w:rsidR="00856E3E" w:rsidRPr="00BB7367">
        <w:rPr>
          <w:sz w:val="24"/>
          <w:szCs w:val="24"/>
        </w:rPr>
        <w:t xml:space="preserve">a </w:t>
      </w:r>
      <w:r w:rsidRPr="00BB7367">
        <w:rPr>
          <w:sz w:val="24"/>
          <w:szCs w:val="24"/>
        </w:rPr>
        <w:t>revie</w:t>
      </w:r>
      <w:r w:rsidR="00856E3E" w:rsidRPr="00BB7367">
        <w:rPr>
          <w:sz w:val="24"/>
          <w:szCs w:val="24"/>
        </w:rPr>
        <w:t>w</w:t>
      </w:r>
      <w:r w:rsidRPr="00BB7367">
        <w:rPr>
          <w:sz w:val="24"/>
          <w:szCs w:val="24"/>
        </w:rPr>
        <w:t xml:space="preserve"> after five years </w:t>
      </w:r>
      <w:r w:rsidR="00856E3E" w:rsidRPr="00BB7367">
        <w:rPr>
          <w:sz w:val="24"/>
          <w:szCs w:val="24"/>
        </w:rPr>
        <w:t xml:space="preserve">of operation, </w:t>
      </w:r>
      <w:r w:rsidRPr="00BB7367">
        <w:rPr>
          <w:sz w:val="24"/>
          <w:szCs w:val="24"/>
        </w:rPr>
        <w:t>or as otherwise agreed. This section states:</w:t>
      </w:r>
    </w:p>
    <w:p w:rsidR="00AF76D3" w:rsidRPr="00953A4D" w:rsidRDefault="00AF76D3" w:rsidP="00294406">
      <w:pPr>
        <w:pStyle w:val="ListParagraph"/>
        <w:numPr>
          <w:ilvl w:val="0"/>
          <w:numId w:val="4"/>
        </w:numPr>
        <w:spacing w:before="160" w:after="160"/>
      </w:pPr>
      <w:r w:rsidRPr="00953A4D">
        <w:rPr>
          <w:i/>
        </w:rPr>
        <w:t xml:space="preserve">After this Agreement has operated for 5 years or as otherwise agreed by the Ministerial Council, the Parties will: </w:t>
      </w:r>
    </w:p>
    <w:p w:rsidR="00AF76D3" w:rsidRPr="00953A4D" w:rsidRDefault="00AF76D3" w:rsidP="00294406">
      <w:pPr>
        <w:pStyle w:val="ListParagraph"/>
        <w:numPr>
          <w:ilvl w:val="1"/>
          <w:numId w:val="4"/>
        </w:numPr>
        <w:spacing w:before="160" w:after="160"/>
        <w:rPr>
          <w:i/>
        </w:rPr>
      </w:pPr>
      <w:r w:rsidRPr="00953A4D">
        <w:rPr>
          <w:i/>
        </w:rPr>
        <w:t xml:space="preserve">review the operation and terms of the National Law and this Agreement; and </w:t>
      </w:r>
    </w:p>
    <w:p w:rsidR="00AF76D3" w:rsidRPr="00953A4D" w:rsidRDefault="00AF76D3" w:rsidP="00294406">
      <w:pPr>
        <w:pStyle w:val="ListParagraph"/>
        <w:numPr>
          <w:ilvl w:val="1"/>
          <w:numId w:val="4"/>
        </w:numPr>
        <w:spacing w:before="160" w:after="160"/>
        <w:rPr>
          <w:i/>
        </w:rPr>
      </w:pPr>
      <w:r w:rsidRPr="00953A4D">
        <w:rPr>
          <w:i/>
        </w:rPr>
        <w:t xml:space="preserve">determine the effectiveness of the National Regulatory System. </w:t>
      </w:r>
    </w:p>
    <w:p w:rsidR="00AF76D3" w:rsidRPr="00953A4D" w:rsidRDefault="00AF76D3" w:rsidP="00294406">
      <w:pPr>
        <w:pStyle w:val="ListParagraph"/>
        <w:numPr>
          <w:ilvl w:val="0"/>
          <w:numId w:val="4"/>
        </w:numPr>
        <w:spacing w:before="160" w:after="160"/>
        <w:rPr>
          <w:i/>
        </w:rPr>
      </w:pPr>
      <w:r w:rsidRPr="00953A4D">
        <w:rPr>
          <w:i/>
        </w:rPr>
        <w:t xml:space="preserve">Further reviews will be conducted at intervals of no more than 5 years. </w:t>
      </w:r>
    </w:p>
    <w:p w:rsidR="00AF76D3" w:rsidRPr="00953A4D" w:rsidRDefault="00AF76D3" w:rsidP="00294406">
      <w:pPr>
        <w:pStyle w:val="ListParagraph"/>
        <w:numPr>
          <w:ilvl w:val="0"/>
          <w:numId w:val="4"/>
        </w:numPr>
        <w:spacing w:before="160" w:after="160"/>
        <w:rPr>
          <w:i/>
        </w:rPr>
      </w:pPr>
      <w:r w:rsidRPr="00953A4D">
        <w:rPr>
          <w:i/>
        </w:rPr>
        <w:t xml:space="preserve">The Parties will work collaboratively to develop appropriate evaluation criteria for the review of the operation of the National Law and this Agreement and the effectiveness of the National Regulatory System. </w:t>
      </w:r>
    </w:p>
    <w:p w:rsidR="005A2043" w:rsidRPr="00BB7367" w:rsidRDefault="005A2043" w:rsidP="00294406">
      <w:pPr>
        <w:spacing w:before="160" w:after="160"/>
        <w:rPr>
          <w:bCs/>
          <w:iCs/>
          <w:sz w:val="24"/>
          <w:szCs w:val="24"/>
          <w:lang w:val="en"/>
        </w:rPr>
      </w:pPr>
      <w:r w:rsidRPr="00BB7367">
        <w:rPr>
          <w:sz w:val="24"/>
          <w:szCs w:val="24"/>
        </w:rPr>
        <w:t>A review of the NRSCH was also canvassed in recommendations made by the Affordable Housing Working Group (AHWG). In</w:t>
      </w:r>
      <w:r w:rsidR="00F3215C">
        <w:rPr>
          <w:sz w:val="24"/>
          <w:szCs w:val="24"/>
        </w:rPr>
        <w:t xml:space="preserve"> September 2017, in </w:t>
      </w:r>
      <w:r w:rsidRPr="00BB7367">
        <w:rPr>
          <w:sz w:val="24"/>
          <w:szCs w:val="24"/>
        </w:rPr>
        <w:t>its final report</w:t>
      </w:r>
      <w:r w:rsidR="00F3215C">
        <w:rPr>
          <w:sz w:val="24"/>
          <w:szCs w:val="24"/>
        </w:rPr>
        <w:t>,</w:t>
      </w:r>
      <w:r w:rsidRPr="00BB7367">
        <w:rPr>
          <w:sz w:val="24"/>
          <w:szCs w:val="24"/>
        </w:rPr>
        <w:t xml:space="preserve"> the AHWG </w:t>
      </w:r>
      <w:r w:rsidRPr="00BB7367">
        <w:rPr>
          <w:bCs/>
          <w:iCs/>
          <w:sz w:val="24"/>
          <w:szCs w:val="24"/>
          <w:lang w:val="en"/>
        </w:rPr>
        <w:t>recommended that:</w:t>
      </w:r>
    </w:p>
    <w:p w:rsidR="005A2043" w:rsidRPr="00F3215C" w:rsidRDefault="005A2043" w:rsidP="00F3215C">
      <w:pPr>
        <w:spacing w:before="160" w:after="160"/>
        <w:ind w:left="720"/>
        <w:rPr>
          <w:bCs/>
          <w:iCs/>
          <w:lang w:val="en"/>
        </w:rPr>
      </w:pPr>
      <w:r w:rsidRPr="00F3215C">
        <w:t xml:space="preserve"> </w:t>
      </w:r>
      <w:r w:rsidRPr="00F3215C">
        <w:rPr>
          <w:bCs/>
          <w:iCs/>
          <w:lang w:val="en"/>
        </w:rPr>
        <w:t>“</w:t>
      </w:r>
      <w:r w:rsidR="00F3215C">
        <w:rPr>
          <w:bCs/>
          <w:iCs/>
          <w:lang w:val="en"/>
        </w:rPr>
        <w:t>…</w:t>
      </w:r>
      <w:r w:rsidRPr="00F3215C">
        <w:rPr>
          <w:bCs/>
          <w:i/>
          <w:iCs/>
          <w:lang w:val="en"/>
        </w:rPr>
        <w:t xml:space="preserve">the Commonwealth and State and Territory Governments and the community housing sector work together to develop and implement a uniform and nationally </w:t>
      </w:r>
      <w:r w:rsidRPr="00F3215C">
        <w:rPr>
          <w:bCs/>
          <w:i/>
          <w:iCs/>
          <w:lang w:val="en"/>
        </w:rPr>
        <w:lastRenderedPageBreak/>
        <w:t>applied regulatory framework that supports the implementation of a bond aggregator as well as the growth of the sector nationally.</w:t>
      </w:r>
      <w:r w:rsidRPr="00F3215C">
        <w:rPr>
          <w:bCs/>
          <w:iCs/>
          <w:lang w:val="en"/>
        </w:rPr>
        <w:t xml:space="preserve">” </w:t>
      </w:r>
    </w:p>
    <w:p w:rsidR="005A2043" w:rsidRPr="00F3215C" w:rsidRDefault="005A2043" w:rsidP="00F3215C">
      <w:pPr>
        <w:spacing w:before="160" w:after="160"/>
        <w:ind w:left="720"/>
        <w:rPr>
          <w:bCs/>
          <w:i/>
          <w:iCs/>
          <w:lang w:val="en"/>
        </w:rPr>
      </w:pPr>
      <w:r w:rsidRPr="00F3215C">
        <w:rPr>
          <w:bCs/>
          <w:i/>
          <w:iCs/>
          <w:lang w:val="en"/>
        </w:rPr>
        <w:t>“</w:t>
      </w:r>
      <w:r w:rsidR="00F3215C">
        <w:rPr>
          <w:bCs/>
          <w:i/>
          <w:iCs/>
          <w:lang w:val="en"/>
        </w:rPr>
        <w:t>…</w:t>
      </w:r>
      <w:r w:rsidRPr="00F3215C">
        <w:rPr>
          <w:bCs/>
          <w:i/>
          <w:iCs/>
          <w:lang w:val="en"/>
        </w:rPr>
        <w:t xml:space="preserve">the </w:t>
      </w:r>
      <w:r w:rsidRPr="00F3215C">
        <w:rPr>
          <w:bCs/>
          <w:iCs/>
          <w:lang w:val="en"/>
        </w:rPr>
        <w:t>National Industry Development Framework for Community Housing</w:t>
      </w:r>
      <w:r w:rsidRPr="00F3215C">
        <w:rPr>
          <w:bCs/>
          <w:i/>
          <w:iCs/>
          <w:lang w:val="en"/>
        </w:rPr>
        <w:t xml:space="preserve"> be revised and updated to reflect findings and recommendations from the Review of the NRSCH.”</w:t>
      </w:r>
    </w:p>
    <w:p w:rsidR="00D63500" w:rsidRPr="00BB7367" w:rsidRDefault="00D63500" w:rsidP="00294406">
      <w:pPr>
        <w:spacing w:before="160" w:after="160"/>
        <w:rPr>
          <w:bCs/>
          <w:iCs/>
          <w:sz w:val="24"/>
          <w:szCs w:val="24"/>
          <w:lang w:val="en"/>
        </w:rPr>
      </w:pPr>
      <w:r w:rsidRPr="00BB7367">
        <w:rPr>
          <w:bCs/>
          <w:iCs/>
          <w:sz w:val="24"/>
          <w:szCs w:val="24"/>
          <w:lang w:val="en"/>
        </w:rPr>
        <w:t>More broadly, market changes in policy, funding mechanisms and delivery vehicles for social and affordable housing</w:t>
      </w:r>
      <w:r w:rsidR="001B7AE3">
        <w:rPr>
          <w:bCs/>
          <w:iCs/>
          <w:sz w:val="24"/>
          <w:szCs w:val="24"/>
          <w:lang w:val="en"/>
        </w:rPr>
        <w:t>, and</w:t>
      </w:r>
      <w:r w:rsidR="00333688" w:rsidRPr="00BB7367">
        <w:rPr>
          <w:bCs/>
          <w:iCs/>
          <w:sz w:val="24"/>
          <w:szCs w:val="24"/>
          <w:lang w:val="en"/>
        </w:rPr>
        <w:t xml:space="preserve"> </w:t>
      </w:r>
      <w:r w:rsidRPr="00BB7367">
        <w:rPr>
          <w:bCs/>
          <w:iCs/>
          <w:sz w:val="24"/>
          <w:szCs w:val="24"/>
          <w:lang w:val="en"/>
        </w:rPr>
        <w:t xml:space="preserve">the opportunity to review the reasons Victoria and Western Australia are not fully </w:t>
      </w:r>
      <w:r w:rsidR="002B3979" w:rsidRPr="00BB7367">
        <w:rPr>
          <w:bCs/>
          <w:iCs/>
          <w:sz w:val="24"/>
          <w:szCs w:val="24"/>
          <w:lang w:val="en"/>
        </w:rPr>
        <w:t>participating</w:t>
      </w:r>
      <w:r w:rsidRPr="00BB7367">
        <w:rPr>
          <w:bCs/>
          <w:iCs/>
          <w:sz w:val="24"/>
          <w:szCs w:val="24"/>
          <w:lang w:val="en"/>
        </w:rPr>
        <w:t xml:space="preserve"> in the NRSCH are drivers for the NRSCH Review.</w:t>
      </w:r>
    </w:p>
    <w:p w:rsidR="00294406" w:rsidRDefault="005A2043" w:rsidP="00294406">
      <w:pPr>
        <w:keepNext/>
        <w:rPr>
          <w:rFonts w:eastAsia="Times New Roman" w:cs="Arial"/>
          <w:bCs/>
          <w:color w:val="002664"/>
          <w:sz w:val="28"/>
          <w:szCs w:val="26"/>
          <w:lang w:eastAsia="en-AU"/>
        </w:rPr>
      </w:pPr>
      <w:r w:rsidRPr="00294406">
        <w:rPr>
          <w:rFonts w:eastAsia="Times New Roman" w:cs="Arial"/>
          <w:bCs/>
          <w:color w:val="002664"/>
          <w:sz w:val="28"/>
          <w:szCs w:val="26"/>
          <w:lang w:eastAsia="en-AU"/>
        </w:rPr>
        <w:t>Victoria</w:t>
      </w:r>
    </w:p>
    <w:p w:rsidR="001B7AE3" w:rsidRDefault="001B7AE3" w:rsidP="00294406">
      <w:pPr>
        <w:spacing w:before="160" w:after="160"/>
        <w:rPr>
          <w:sz w:val="24"/>
          <w:szCs w:val="24"/>
        </w:rPr>
      </w:pPr>
      <w:r>
        <w:rPr>
          <w:sz w:val="24"/>
          <w:szCs w:val="24"/>
        </w:rPr>
        <w:t>In 2005</w:t>
      </w:r>
      <w:r w:rsidR="004D5AD8">
        <w:rPr>
          <w:sz w:val="24"/>
          <w:szCs w:val="24"/>
        </w:rPr>
        <w:t>,</w:t>
      </w:r>
      <w:r>
        <w:rPr>
          <w:sz w:val="24"/>
          <w:szCs w:val="24"/>
        </w:rPr>
        <w:t xml:space="preserve"> t</w:t>
      </w:r>
      <w:r w:rsidR="005A2043" w:rsidRPr="00BB7367">
        <w:rPr>
          <w:sz w:val="24"/>
          <w:szCs w:val="24"/>
        </w:rPr>
        <w:t xml:space="preserve">he Victorian system of regulation began with the introduction of a new Part VIII of the </w:t>
      </w:r>
      <w:r w:rsidR="005A2043" w:rsidRPr="00BB7367">
        <w:rPr>
          <w:i/>
          <w:sz w:val="24"/>
          <w:szCs w:val="24"/>
        </w:rPr>
        <w:t>Housing Act 1983</w:t>
      </w:r>
      <w:r w:rsidR="005A2043" w:rsidRPr="00BB7367">
        <w:rPr>
          <w:sz w:val="24"/>
          <w:szCs w:val="24"/>
        </w:rPr>
        <w:t>.</w:t>
      </w:r>
    </w:p>
    <w:p w:rsidR="005A2043" w:rsidRPr="00BB7367" w:rsidRDefault="001B7AE3" w:rsidP="00294406">
      <w:pPr>
        <w:spacing w:before="160" w:after="160"/>
        <w:rPr>
          <w:sz w:val="24"/>
          <w:szCs w:val="24"/>
        </w:rPr>
      </w:pPr>
      <w:r>
        <w:rPr>
          <w:sz w:val="24"/>
          <w:szCs w:val="24"/>
        </w:rPr>
        <w:t>In 2016, f</w:t>
      </w:r>
      <w:r w:rsidR="005A2043" w:rsidRPr="00BB7367">
        <w:rPr>
          <w:sz w:val="24"/>
          <w:szCs w:val="24"/>
        </w:rPr>
        <w:t xml:space="preserve">ollowing a review of the Victorian system, the Minister for Finance accepted in principle the recommendation to pursue resolution of administrative and other barriers to Victoria’s adoption of the NRSCH, and to explore options for jurisdictions to mutually recognise registrations and simplify reporting requirements. </w:t>
      </w:r>
    </w:p>
    <w:p w:rsidR="00294406" w:rsidRDefault="005A2043" w:rsidP="00AF76D3">
      <w:pPr>
        <w:rPr>
          <w:rFonts w:eastAsia="Times New Roman" w:cs="Arial"/>
          <w:bCs/>
          <w:color w:val="002664"/>
          <w:sz w:val="28"/>
          <w:szCs w:val="26"/>
          <w:lang w:eastAsia="en-AU"/>
        </w:rPr>
      </w:pPr>
      <w:r w:rsidRPr="00294406">
        <w:rPr>
          <w:rFonts w:eastAsia="Times New Roman" w:cs="Arial"/>
          <w:bCs/>
          <w:color w:val="002664"/>
          <w:sz w:val="28"/>
          <w:szCs w:val="26"/>
          <w:lang w:eastAsia="en-AU"/>
        </w:rPr>
        <w:t>Western Australia</w:t>
      </w:r>
    </w:p>
    <w:p w:rsidR="005A2043" w:rsidRPr="00BB7367" w:rsidRDefault="005A2043" w:rsidP="00294406">
      <w:pPr>
        <w:spacing w:before="160" w:after="160"/>
        <w:rPr>
          <w:sz w:val="24"/>
          <w:szCs w:val="24"/>
        </w:rPr>
      </w:pPr>
      <w:r w:rsidRPr="00BB7367">
        <w:rPr>
          <w:sz w:val="24"/>
          <w:szCs w:val="24"/>
        </w:rPr>
        <w:t>In 201</w:t>
      </w:r>
      <w:r w:rsidR="001B7AE3">
        <w:rPr>
          <w:sz w:val="24"/>
          <w:szCs w:val="24"/>
        </w:rPr>
        <w:t>6</w:t>
      </w:r>
      <w:r w:rsidRPr="00BB7367">
        <w:rPr>
          <w:sz w:val="24"/>
          <w:szCs w:val="24"/>
        </w:rPr>
        <w:t xml:space="preserve"> </w:t>
      </w:r>
      <w:r w:rsidR="0031467B">
        <w:rPr>
          <w:sz w:val="24"/>
          <w:szCs w:val="24"/>
        </w:rPr>
        <w:t>Western Australia</w:t>
      </w:r>
      <w:r w:rsidR="0031467B" w:rsidRPr="00BB7367">
        <w:rPr>
          <w:sz w:val="24"/>
          <w:szCs w:val="24"/>
        </w:rPr>
        <w:t xml:space="preserve"> </w:t>
      </w:r>
      <w:r w:rsidRPr="00BB7367">
        <w:rPr>
          <w:sz w:val="24"/>
          <w:szCs w:val="24"/>
        </w:rPr>
        <w:t xml:space="preserve">introduced a new regulatory policy, the Community Housing Regulatory Framework (Framework). Although the Framework is consistent with the NRSCH, </w:t>
      </w:r>
      <w:r w:rsidR="0031467B">
        <w:rPr>
          <w:sz w:val="24"/>
          <w:szCs w:val="24"/>
        </w:rPr>
        <w:t>Western Australia</w:t>
      </w:r>
      <w:r w:rsidR="0031467B" w:rsidRPr="00BB7367">
        <w:rPr>
          <w:sz w:val="24"/>
          <w:szCs w:val="24"/>
        </w:rPr>
        <w:t xml:space="preserve"> </w:t>
      </w:r>
      <w:r w:rsidRPr="00BB7367">
        <w:rPr>
          <w:sz w:val="24"/>
          <w:szCs w:val="24"/>
        </w:rPr>
        <w:t>has not adopted the National Law</w:t>
      </w:r>
      <w:r w:rsidR="004102B0" w:rsidRPr="00BB7367">
        <w:rPr>
          <w:sz w:val="24"/>
          <w:szCs w:val="24"/>
        </w:rPr>
        <w:t>. The</w:t>
      </w:r>
      <w:r w:rsidRPr="00BB7367">
        <w:rPr>
          <w:sz w:val="24"/>
          <w:szCs w:val="24"/>
        </w:rPr>
        <w:t xml:space="preserve"> Framework is therefore a policy-based administrative sy</w:t>
      </w:r>
      <w:r w:rsidR="00AF76D3" w:rsidRPr="00BB7367">
        <w:rPr>
          <w:sz w:val="24"/>
          <w:szCs w:val="24"/>
        </w:rPr>
        <w:t xml:space="preserve">stem. </w:t>
      </w:r>
    </w:p>
    <w:p w:rsidR="005A2043" w:rsidRPr="00294406" w:rsidRDefault="005A2043" w:rsidP="00294406">
      <w:pPr>
        <w:pStyle w:val="Heading2"/>
        <w:keepNext/>
        <w:spacing w:before="240" w:after="60"/>
        <w:rPr>
          <w:rFonts w:eastAsia="Times New Roman" w:cs="Arial"/>
          <w:iCs/>
          <w:color w:val="002664"/>
          <w:sz w:val="32"/>
          <w:szCs w:val="28"/>
          <w:lang w:eastAsia="en-AU"/>
        </w:rPr>
      </w:pPr>
      <w:r w:rsidRPr="00294406">
        <w:rPr>
          <w:rFonts w:eastAsia="Times New Roman" w:cs="Arial"/>
          <w:iCs/>
          <w:color w:val="002664"/>
          <w:sz w:val="32"/>
          <w:szCs w:val="28"/>
          <w:lang w:eastAsia="en-AU"/>
        </w:rPr>
        <w:t>Objectives</w:t>
      </w:r>
    </w:p>
    <w:p w:rsidR="00063AA3" w:rsidRDefault="00063AA3" w:rsidP="00294406">
      <w:pPr>
        <w:spacing w:before="160" w:after="160"/>
        <w:rPr>
          <w:sz w:val="24"/>
          <w:szCs w:val="24"/>
        </w:rPr>
      </w:pPr>
      <w:r>
        <w:rPr>
          <w:sz w:val="24"/>
          <w:szCs w:val="24"/>
        </w:rPr>
        <w:t>On 1 March 2018 a NRSCH Reform Working Group (working group) was established by the Housing and Homelessness Senior Officers.</w:t>
      </w:r>
    </w:p>
    <w:p w:rsidR="005A2043" w:rsidRPr="00BB7367" w:rsidRDefault="005A2043" w:rsidP="00294406">
      <w:pPr>
        <w:spacing w:before="160" w:after="160"/>
        <w:rPr>
          <w:sz w:val="24"/>
          <w:szCs w:val="24"/>
        </w:rPr>
      </w:pPr>
      <w:r w:rsidRPr="00BB7367">
        <w:rPr>
          <w:sz w:val="24"/>
          <w:szCs w:val="24"/>
        </w:rPr>
        <w:t xml:space="preserve">The </w:t>
      </w:r>
      <w:r w:rsidR="00665EB6">
        <w:rPr>
          <w:sz w:val="24"/>
          <w:szCs w:val="24"/>
        </w:rPr>
        <w:t>w</w:t>
      </w:r>
      <w:r w:rsidRPr="00BB7367">
        <w:rPr>
          <w:sz w:val="24"/>
          <w:szCs w:val="24"/>
        </w:rPr>
        <w:t xml:space="preserve">orking </w:t>
      </w:r>
      <w:r w:rsidR="00665EB6">
        <w:rPr>
          <w:sz w:val="24"/>
          <w:szCs w:val="24"/>
        </w:rPr>
        <w:t>g</w:t>
      </w:r>
      <w:r w:rsidRPr="00BB7367">
        <w:rPr>
          <w:sz w:val="24"/>
          <w:szCs w:val="24"/>
        </w:rPr>
        <w:t>roup will:</w:t>
      </w:r>
    </w:p>
    <w:p w:rsidR="005A2043" w:rsidRPr="00BB7367" w:rsidRDefault="00526EF3" w:rsidP="004D5AD8">
      <w:pPr>
        <w:pStyle w:val="BodyText"/>
        <w:numPr>
          <w:ilvl w:val="0"/>
          <w:numId w:val="1"/>
        </w:numPr>
        <w:spacing w:after="160" w:line="240" w:lineRule="auto"/>
        <w:ind w:left="567" w:hanging="425"/>
        <w:rPr>
          <w:sz w:val="24"/>
          <w:szCs w:val="24"/>
        </w:rPr>
      </w:pPr>
      <w:r>
        <w:rPr>
          <w:sz w:val="24"/>
          <w:szCs w:val="24"/>
        </w:rPr>
        <w:t>p</w:t>
      </w:r>
      <w:r w:rsidR="005A2043" w:rsidRPr="00BB7367">
        <w:rPr>
          <w:sz w:val="24"/>
          <w:szCs w:val="24"/>
        </w:rPr>
        <w:t xml:space="preserve">rovide an assessment </w:t>
      </w:r>
      <w:r w:rsidR="004D5AD8">
        <w:rPr>
          <w:sz w:val="24"/>
          <w:szCs w:val="24"/>
        </w:rPr>
        <w:t xml:space="preserve">of </w:t>
      </w:r>
      <w:r w:rsidR="00157BFD">
        <w:rPr>
          <w:sz w:val="24"/>
          <w:szCs w:val="24"/>
        </w:rPr>
        <w:t xml:space="preserve">whether the objectives </w:t>
      </w:r>
      <w:r w:rsidR="00115A2E">
        <w:rPr>
          <w:sz w:val="24"/>
          <w:szCs w:val="24"/>
        </w:rPr>
        <w:t xml:space="preserve">and purpose </w:t>
      </w:r>
      <w:r w:rsidR="00157BFD">
        <w:rPr>
          <w:sz w:val="24"/>
          <w:szCs w:val="24"/>
        </w:rPr>
        <w:t>of the IGA and the National Law have been met</w:t>
      </w:r>
    </w:p>
    <w:p w:rsidR="008A5BE8" w:rsidRPr="00BB7367" w:rsidRDefault="00526EF3" w:rsidP="004D5AD8">
      <w:pPr>
        <w:pStyle w:val="BodyText"/>
        <w:numPr>
          <w:ilvl w:val="0"/>
          <w:numId w:val="1"/>
        </w:numPr>
        <w:spacing w:after="160" w:line="240" w:lineRule="auto"/>
        <w:ind w:left="567" w:hanging="425"/>
        <w:rPr>
          <w:sz w:val="24"/>
          <w:szCs w:val="24"/>
        </w:rPr>
      </w:pPr>
      <w:r>
        <w:rPr>
          <w:sz w:val="24"/>
          <w:szCs w:val="24"/>
        </w:rPr>
        <w:t>a</w:t>
      </w:r>
      <w:r w:rsidR="00D5020D" w:rsidRPr="00BB7367">
        <w:rPr>
          <w:sz w:val="24"/>
          <w:szCs w:val="24"/>
        </w:rPr>
        <w:t>ssess whether the NRSCH has been implemented effectively to achieve those objectives</w:t>
      </w:r>
    </w:p>
    <w:p w:rsidR="005A2043" w:rsidRPr="008A5BE8" w:rsidRDefault="00526EF3" w:rsidP="008A5BE8">
      <w:pPr>
        <w:pStyle w:val="BodyText"/>
        <w:numPr>
          <w:ilvl w:val="0"/>
          <w:numId w:val="1"/>
        </w:numPr>
        <w:spacing w:after="160" w:line="240" w:lineRule="auto"/>
        <w:ind w:left="567" w:hanging="425"/>
        <w:rPr>
          <w:sz w:val="24"/>
          <w:szCs w:val="24"/>
        </w:rPr>
      </w:pPr>
      <w:r w:rsidRPr="008A5BE8">
        <w:rPr>
          <w:sz w:val="24"/>
          <w:szCs w:val="24"/>
        </w:rPr>
        <w:t>i</w:t>
      </w:r>
      <w:r w:rsidR="005A2043" w:rsidRPr="008A5BE8">
        <w:rPr>
          <w:sz w:val="24"/>
          <w:szCs w:val="24"/>
        </w:rPr>
        <w:t xml:space="preserve">dentify potential options to update the NRSCH to ensure that it remains able to support the growth of the community-housing sector, taking into account the operating environment of providers and changes in the funding and policy settings of the Commonwealth and </w:t>
      </w:r>
      <w:r w:rsidR="0031467B" w:rsidRPr="008A5BE8">
        <w:rPr>
          <w:sz w:val="24"/>
          <w:szCs w:val="24"/>
        </w:rPr>
        <w:t>s</w:t>
      </w:r>
      <w:r w:rsidR="005A2043" w:rsidRPr="008A5BE8">
        <w:rPr>
          <w:sz w:val="24"/>
          <w:szCs w:val="24"/>
        </w:rPr>
        <w:t xml:space="preserve">tate and </w:t>
      </w:r>
      <w:r w:rsidR="0031467B" w:rsidRPr="008A5BE8">
        <w:rPr>
          <w:sz w:val="24"/>
          <w:szCs w:val="24"/>
        </w:rPr>
        <w:t>t</w:t>
      </w:r>
      <w:r w:rsidR="005A2043" w:rsidRPr="008A5BE8">
        <w:rPr>
          <w:sz w:val="24"/>
          <w:szCs w:val="24"/>
        </w:rPr>
        <w:t xml:space="preserve">erritory </w:t>
      </w:r>
      <w:r w:rsidR="0031467B" w:rsidRPr="008A5BE8">
        <w:rPr>
          <w:sz w:val="24"/>
          <w:szCs w:val="24"/>
        </w:rPr>
        <w:t>g</w:t>
      </w:r>
      <w:r w:rsidR="005A2043" w:rsidRPr="008A5BE8">
        <w:rPr>
          <w:sz w:val="24"/>
          <w:szCs w:val="24"/>
        </w:rPr>
        <w:t>overnments</w:t>
      </w:r>
    </w:p>
    <w:p w:rsidR="00CE2775" w:rsidRPr="00BB7367" w:rsidRDefault="00526EF3" w:rsidP="004D5AD8">
      <w:pPr>
        <w:pStyle w:val="BodyText"/>
        <w:numPr>
          <w:ilvl w:val="0"/>
          <w:numId w:val="1"/>
        </w:numPr>
        <w:spacing w:after="160" w:line="240" w:lineRule="auto"/>
        <w:ind w:left="567" w:hanging="425"/>
        <w:rPr>
          <w:sz w:val="24"/>
          <w:szCs w:val="24"/>
        </w:rPr>
      </w:pPr>
      <w:r>
        <w:rPr>
          <w:sz w:val="24"/>
          <w:szCs w:val="24"/>
        </w:rPr>
        <w:lastRenderedPageBreak/>
        <w:t>a</w:t>
      </w:r>
      <w:r w:rsidR="00D5020D" w:rsidRPr="00BB7367">
        <w:rPr>
          <w:sz w:val="24"/>
          <w:szCs w:val="24"/>
        </w:rPr>
        <w:t>ssess what changes to the NRSCH, or other options for a future national regulatory system</w:t>
      </w:r>
      <w:r w:rsidR="004D5AD8">
        <w:rPr>
          <w:sz w:val="24"/>
          <w:szCs w:val="24"/>
        </w:rPr>
        <w:t>,</w:t>
      </w:r>
      <w:r w:rsidR="00D5020D" w:rsidRPr="00BB7367">
        <w:rPr>
          <w:sz w:val="24"/>
          <w:szCs w:val="24"/>
        </w:rPr>
        <w:t xml:space="preserve"> </w:t>
      </w:r>
      <w:r w:rsidR="00CE2775" w:rsidRPr="00BB7367">
        <w:rPr>
          <w:sz w:val="24"/>
          <w:szCs w:val="24"/>
        </w:rPr>
        <w:t xml:space="preserve">might </w:t>
      </w:r>
      <w:r w:rsidR="00D5020D" w:rsidRPr="00BB7367">
        <w:rPr>
          <w:sz w:val="24"/>
          <w:szCs w:val="24"/>
        </w:rPr>
        <w:t xml:space="preserve">be required to support </w:t>
      </w:r>
      <w:r w:rsidR="00CE2775" w:rsidRPr="00BB7367">
        <w:rPr>
          <w:sz w:val="24"/>
          <w:szCs w:val="24"/>
        </w:rPr>
        <w:t>the introduction of the bond aggregator</w:t>
      </w:r>
    </w:p>
    <w:p w:rsidR="00D5020D" w:rsidRPr="00BB7367" w:rsidRDefault="00526EF3" w:rsidP="004D5AD8">
      <w:pPr>
        <w:pStyle w:val="BodyText"/>
        <w:numPr>
          <w:ilvl w:val="0"/>
          <w:numId w:val="1"/>
        </w:numPr>
        <w:spacing w:after="160" w:line="240" w:lineRule="auto"/>
        <w:ind w:left="567" w:hanging="425"/>
        <w:rPr>
          <w:sz w:val="24"/>
          <w:szCs w:val="24"/>
        </w:rPr>
      </w:pPr>
      <w:r>
        <w:rPr>
          <w:sz w:val="24"/>
          <w:szCs w:val="24"/>
        </w:rPr>
        <w:t>a</w:t>
      </w:r>
      <w:r w:rsidR="00CE2775" w:rsidRPr="00BB7367">
        <w:rPr>
          <w:sz w:val="24"/>
          <w:szCs w:val="24"/>
        </w:rPr>
        <w:t>ssess what changes to the NRSCH, or other options for a future national regulatory system</w:t>
      </w:r>
      <w:r w:rsidR="004D5AD8">
        <w:rPr>
          <w:sz w:val="24"/>
          <w:szCs w:val="24"/>
        </w:rPr>
        <w:t>,</w:t>
      </w:r>
      <w:r w:rsidR="00CE2775" w:rsidRPr="00BB7367">
        <w:rPr>
          <w:sz w:val="24"/>
          <w:szCs w:val="24"/>
        </w:rPr>
        <w:t xml:space="preserve"> might be required to support </w:t>
      </w:r>
      <w:r w:rsidR="00D5020D" w:rsidRPr="00BB7367">
        <w:rPr>
          <w:sz w:val="24"/>
          <w:szCs w:val="24"/>
        </w:rPr>
        <w:t xml:space="preserve">any future decision for </w:t>
      </w:r>
      <w:r w:rsidR="00157BFD">
        <w:rPr>
          <w:sz w:val="24"/>
          <w:szCs w:val="24"/>
        </w:rPr>
        <w:t>Victoria</w:t>
      </w:r>
      <w:r w:rsidR="00157BFD" w:rsidRPr="00BB7367">
        <w:rPr>
          <w:sz w:val="24"/>
          <w:szCs w:val="24"/>
        </w:rPr>
        <w:t xml:space="preserve"> </w:t>
      </w:r>
      <w:r w:rsidR="00D5020D" w:rsidRPr="00BB7367">
        <w:rPr>
          <w:sz w:val="24"/>
          <w:szCs w:val="24"/>
        </w:rPr>
        <w:t xml:space="preserve">and </w:t>
      </w:r>
      <w:r w:rsidR="009946E0">
        <w:rPr>
          <w:sz w:val="24"/>
          <w:szCs w:val="24"/>
        </w:rPr>
        <w:t>W</w:t>
      </w:r>
      <w:r w:rsidR="00157BFD">
        <w:rPr>
          <w:sz w:val="24"/>
          <w:szCs w:val="24"/>
        </w:rPr>
        <w:t>estern Australia</w:t>
      </w:r>
      <w:r w:rsidR="00D5020D" w:rsidRPr="00BB7367">
        <w:rPr>
          <w:sz w:val="24"/>
          <w:szCs w:val="24"/>
        </w:rPr>
        <w:t xml:space="preserve"> to join</w:t>
      </w:r>
    </w:p>
    <w:p w:rsidR="005A2043" w:rsidRPr="00BB7367" w:rsidRDefault="00526EF3" w:rsidP="004D5AD8">
      <w:pPr>
        <w:pStyle w:val="BodyText"/>
        <w:numPr>
          <w:ilvl w:val="0"/>
          <w:numId w:val="1"/>
        </w:numPr>
        <w:spacing w:after="160" w:line="240" w:lineRule="auto"/>
        <w:ind w:left="567" w:hanging="425"/>
        <w:rPr>
          <w:sz w:val="24"/>
          <w:szCs w:val="24"/>
        </w:rPr>
      </w:pPr>
      <w:r>
        <w:rPr>
          <w:sz w:val="24"/>
          <w:szCs w:val="24"/>
        </w:rPr>
        <w:t>o</w:t>
      </w:r>
      <w:r w:rsidR="005A2043" w:rsidRPr="00BB7367">
        <w:rPr>
          <w:sz w:val="24"/>
          <w:szCs w:val="24"/>
        </w:rPr>
        <w:t xml:space="preserve">utline the best method to implement any reforms that are identified as part of the Review.  </w:t>
      </w:r>
    </w:p>
    <w:p w:rsidR="005A2043" w:rsidRPr="00BB7367" w:rsidRDefault="005A2043" w:rsidP="00294406">
      <w:pPr>
        <w:spacing w:before="160" w:after="160"/>
        <w:rPr>
          <w:sz w:val="24"/>
          <w:szCs w:val="24"/>
        </w:rPr>
      </w:pPr>
      <w:r w:rsidRPr="00BB7367">
        <w:rPr>
          <w:sz w:val="24"/>
          <w:szCs w:val="24"/>
        </w:rPr>
        <w:t xml:space="preserve">This work will culminate in a report </w:t>
      </w:r>
      <w:r w:rsidR="00157BFD">
        <w:rPr>
          <w:sz w:val="24"/>
          <w:szCs w:val="24"/>
        </w:rPr>
        <w:t xml:space="preserve">and recommendations </w:t>
      </w:r>
      <w:r w:rsidRPr="00BB7367">
        <w:rPr>
          <w:sz w:val="24"/>
          <w:szCs w:val="24"/>
        </w:rPr>
        <w:t xml:space="preserve">by the </w:t>
      </w:r>
      <w:r w:rsidR="00665EB6">
        <w:rPr>
          <w:sz w:val="24"/>
          <w:szCs w:val="24"/>
        </w:rPr>
        <w:t>w</w:t>
      </w:r>
      <w:r w:rsidRPr="00BB7367">
        <w:rPr>
          <w:sz w:val="24"/>
          <w:szCs w:val="24"/>
        </w:rPr>
        <w:t xml:space="preserve">orking </w:t>
      </w:r>
      <w:r w:rsidR="00665EB6">
        <w:rPr>
          <w:sz w:val="24"/>
          <w:szCs w:val="24"/>
        </w:rPr>
        <w:t>g</w:t>
      </w:r>
      <w:r w:rsidRPr="00BB7367">
        <w:rPr>
          <w:sz w:val="24"/>
          <w:szCs w:val="24"/>
        </w:rPr>
        <w:t>roup to Housing and Homelessness Ministers.</w:t>
      </w:r>
    </w:p>
    <w:p w:rsidR="005A2043" w:rsidRPr="00BB7367" w:rsidRDefault="005A2043" w:rsidP="00294406">
      <w:pPr>
        <w:spacing w:before="160" w:after="160"/>
        <w:rPr>
          <w:sz w:val="24"/>
          <w:szCs w:val="24"/>
        </w:rPr>
      </w:pPr>
      <w:r w:rsidRPr="00BB7367">
        <w:rPr>
          <w:sz w:val="24"/>
          <w:szCs w:val="24"/>
        </w:rPr>
        <w:t xml:space="preserve">The Review will assist </w:t>
      </w:r>
      <w:r w:rsidR="00AF76D3" w:rsidRPr="00BB7367">
        <w:rPr>
          <w:sz w:val="24"/>
          <w:szCs w:val="24"/>
        </w:rPr>
        <w:t>Ministers</w:t>
      </w:r>
      <w:r w:rsidRPr="00BB7367">
        <w:rPr>
          <w:sz w:val="24"/>
          <w:szCs w:val="24"/>
        </w:rPr>
        <w:t xml:space="preserve"> to meet the requirements of Section </w:t>
      </w:r>
      <w:r w:rsidR="00AF76D3" w:rsidRPr="00BB7367">
        <w:rPr>
          <w:sz w:val="24"/>
          <w:szCs w:val="24"/>
        </w:rPr>
        <w:t>8</w:t>
      </w:r>
      <w:r w:rsidRPr="00BB7367">
        <w:rPr>
          <w:sz w:val="24"/>
          <w:szCs w:val="24"/>
        </w:rPr>
        <w:t xml:space="preserve"> of the </w:t>
      </w:r>
      <w:r w:rsidR="00063AA3">
        <w:rPr>
          <w:sz w:val="24"/>
          <w:szCs w:val="24"/>
        </w:rPr>
        <w:t>IGA</w:t>
      </w:r>
      <w:r w:rsidRPr="00BB7367">
        <w:rPr>
          <w:sz w:val="24"/>
          <w:szCs w:val="24"/>
        </w:rPr>
        <w:t xml:space="preserve"> and address recommendations 1 and 2 </w:t>
      </w:r>
      <w:r w:rsidR="00063AA3">
        <w:rPr>
          <w:sz w:val="24"/>
          <w:szCs w:val="24"/>
        </w:rPr>
        <w:t>of</w:t>
      </w:r>
      <w:r w:rsidRPr="00BB7367">
        <w:rPr>
          <w:sz w:val="24"/>
          <w:szCs w:val="24"/>
        </w:rPr>
        <w:t xml:space="preserve"> the AHWG</w:t>
      </w:r>
      <w:r w:rsidR="00D5020D" w:rsidRPr="00BB7367">
        <w:rPr>
          <w:sz w:val="24"/>
          <w:szCs w:val="24"/>
        </w:rPr>
        <w:t xml:space="preserve">, and </w:t>
      </w:r>
      <w:r w:rsidR="00063AA3">
        <w:rPr>
          <w:sz w:val="24"/>
          <w:szCs w:val="24"/>
        </w:rPr>
        <w:t xml:space="preserve">ensure </w:t>
      </w:r>
      <w:r w:rsidR="00A21124" w:rsidRPr="00BB7367">
        <w:rPr>
          <w:sz w:val="24"/>
          <w:szCs w:val="24"/>
        </w:rPr>
        <w:t>the NRSCH</w:t>
      </w:r>
      <w:r w:rsidR="00D5020D" w:rsidRPr="00BB7367">
        <w:rPr>
          <w:sz w:val="24"/>
          <w:szCs w:val="24"/>
        </w:rPr>
        <w:t xml:space="preserve"> remains fit-for-purpose in the current environment.</w:t>
      </w:r>
    </w:p>
    <w:p w:rsidR="005A2043" w:rsidRPr="00294406" w:rsidRDefault="005A2043" w:rsidP="00294406">
      <w:pPr>
        <w:pStyle w:val="Heading2"/>
        <w:keepNext/>
        <w:spacing w:before="240" w:after="60"/>
        <w:rPr>
          <w:rFonts w:eastAsia="Times New Roman" w:cs="Arial"/>
          <w:iCs/>
          <w:color w:val="002664"/>
          <w:sz w:val="32"/>
          <w:szCs w:val="28"/>
          <w:lang w:eastAsia="en-AU"/>
        </w:rPr>
      </w:pPr>
      <w:r w:rsidRPr="00294406">
        <w:rPr>
          <w:rFonts w:eastAsia="Times New Roman" w:cs="Arial"/>
          <w:iCs/>
          <w:color w:val="002664"/>
          <w:sz w:val="32"/>
          <w:szCs w:val="28"/>
          <w:lang w:eastAsia="en-AU"/>
        </w:rPr>
        <w:t>Terms of Reference</w:t>
      </w:r>
    </w:p>
    <w:p w:rsidR="005A2043" w:rsidRPr="00BB7367" w:rsidRDefault="005A2043" w:rsidP="00294406">
      <w:pPr>
        <w:spacing w:before="160" w:after="160"/>
        <w:rPr>
          <w:sz w:val="24"/>
          <w:szCs w:val="24"/>
        </w:rPr>
      </w:pPr>
      <w:r w:rsidRPr="00BB7367">
        <w:rPr>
          <w:sz w:val="24"/>
          <w:szCs w:val="24"/>
        </w:rPr>
        <w:t xml:space="preserve">In reviewing the operation of the NRSCH and examining options for reform, the </w:t>
      </w:r>
      <w:r w:rsidR="00063AA3">
        <w:rPr>
          <w:sz w:val="24"/>
          <w:szCs w:val="24"/>
        </w:rPr>
        <w:t>w</w:t>
      </w:r>
      <w:r w:rsidRPr="00BB7367">
        <w:rPr>
          <w:sz w:val="24"/>
          <w:szCs w:val="24"/>
        </w:rPr>
        <w:t xml:space="preserve">orking </w:t>
      </w:r>
      <w:r w:rsidR="00665EB6">
        <w:rPr>
          <w:sz w:val="24"/>
          <w:szCs w:val="24"/>
        </w:rPr>
        <w:t>g</w:t>
      </w:r>
      <w:r w:rsidRPr="00BB7367">
        <w:rPr>
          <w:sz w:val="24"/>
          <w:szCs w:val="24"/>
        </w:rPr>
        <w:t>roup will consider:</w:t>
      </w:r>
    </w:p>
    <w:p w:rsidR="002E7AB4" w:rsidRPr="00BB7367" w:rsidRDefault="00157BFD" w:rsidP="007376C7">
      <w:pPr>
        <w:pStyle w:val="BodyText"/>
        <w:numPr>
          <w:ilvl w:val="0"/>
          <w:numId w:val="1"/>
        </w:numPr>
        <w:spacing w:after="160" w:line="240" w:lineRule="auto"/>
        <w:ind w:left="567" w:hanging="425"/>
        <w:rPr>
          <w:sz w:val="24"/>
          <w:szCs w:val="24"/>
        </w:rPr>
      </w:pPr>
      <w:r>
        <w:rPr>
          <w:sz w:val="24"/>
          <w:szCs w:val="24"/>
        </w:rPr>
        <w:t>t</w:t>
      </w:r>
      <w:r w:rsidR="002E7AB4" w:rsidRPr="00BB7367">
        <w:rPr>
          <w:sz w:val="24"/>
          <w:szCs w:val="24"/>
        </w:rPr>
        <w:t xml:space="preserve">he design of a regulatory system that supports </w:t>
      </w:r>
      <w:r w:rsidR="006443A5">
        <w:rPr>
          <w:sz w:val="24"/>
          <w:szCs w:val="24"/>
        </w:rPr>
        <w:t>the objectives and purpose of the Inter-Government Agreement and the National Law</w:t>
      </w:r>
    </w:p>
    <w:p w:rsidR="005A2043" w:rsidRPr="00BB7367" w:rsidRDefault="00157BFD" w:rsidP="007376C7">
      <w:pPr>
        <w:pStyle w:val="BodyText"/>
        <w:numPr>
          <w:ilvl w:val="0"/>
          <w:numId w:val="1"/>
        </w:numPr>
        <w:spacing w:after="160" w:line="240" w:lineRule="auto"/>
        <w:ind w:left="567" w:hanging="425"/>
        <w:rPr>
          <w:sz w:val="24"/>
          <w:szCs w:val="24"/>
        </w:rPr>
      </w:pPr>
      <w:r>
        <w:rPr>
          <w:sz w:val="24"/>
          <w:szCs w:val="24"/>
        </w:rPr>
        <w:t>t</w:t>
      </w:r>
      <w:r w:rsidR="00E279FF" w:rsidRPr="00BB7367">
        <w:rPr>
          <w:sz w:val="24"/>
          <w:szCs w:val="24"/>
        </w:rPr>
        <w:t>he</w:t>
      </w:r>
      <w:r w:rsidR="005A2043" w:rsidRPr="00BB7367">
        <w:rPr>
          <w:sz w:val="24"/>
          <w:szCs w:val="24"/>
        </w:rPr>
        <w:t xml:space="preserve"> </w:t>
      </w:r>
      <w:r w:rsidR="002E7AB4" w:rsidRPr="00BB7367">
        <w:rPr>
          <w:sz w:val="24"/>
          <w:szCs w:val="24"/>
        </w:rPr>
        <w:t xml:space="preserve">design and </w:t>
      </w:r>
      <w:r w:rsidR="005A2043" w:rsidRPr="00BB7367">
        <w:rPr>
          <w:sz w:val="24"/>
          <w:szCs w:val="24"/>
        </w:rPr>
        <w:t xml:space="preserve">operation of the National Law and the National Code, Charter for the NRSCH and the National Industry Development </w:t>
      </w:r>
      <w:r w:rsidR="00E279FF" w:rsidRPr="00BB7367">
        <w:rPr>
          <w:sz w:val="24"/>
          <w:szCs w:val="24"/>
        </w:rPr>
        <w:t xml:space="preserve">Framework </w:t>
      </w:r>
      <w:r w:rsidR="005A2043" w:rsidRPr="00BB7367">
        <w:rPr>
          <w:sz w:val="24"/>
          <w:szCs w:val="24"/>
        </w:rPr>
        <w:t>for Community Housing</w:t>
      </w:r>
    </w:p>
    <w:p w:rsidR="005A2043" w:rsidRPr="00BB7367" w:rsidRDefault="00157BFD" w:rsidP="007376C7">
      <w:pPr>
        <w:pStyle w:val="BodyText"/>
        <w:numPr>
          <w:ilvl w:val="0"/>
          <w:numId w:val="1"/>
        </w:numPr>
        <w:spacing w:after="160" w:line="240" w:lineRule="auto"/>
        <w:ind w:left="567" w:hanging="425"/>
        <w:rPr>
          <w:sz w:val="24"/>
          <w:szCs w:val="24"/>
        </w:rPr>
      </w:pPr>
      <w:r>
        <w:rPr>
          <w:sz w:val="24"/>
          <w:szCs w:val="24"/>
        </w:rPr>
        <w:t>m</w:t>
      </w:r>
      <w:r w:rsidR="005A2043" w:rsidRPr="00BB7367">
        <w:rPr>
          <w:sz w:val="24"/>
          <w:szCs w:val="24"/>
        </w:rPr>
        <w:t xml:space="preserve">arket place issues including eligibility for registration, the application of financial viability requirements and operational guidelines including </w:t>
      </w:r>
      <w:r w:rsidR="004F7B0D">
        <w:rPr>
          <w:sz w:val="24"/>
          <w:szCs w:val="24"/>
        </w:rPr>
        <w:t>t</w:t>
      </w:r>
      <w:r w:rsidR="005A2043" w:rsidRPr="00BB7367">
        <w:rPr>
          <w:sz w:val="24"/>
          <w:szCs w:val="24"/>
        </w:rPr>
        <w:t xml:space="preserve">ier, </w:t>
      </w:r>
      <w:r w:rsidR="004F7B0D">
        <w:rPr>
          <w:sz w:val="24"/>
          <w:szCs w:val="24"/>
        </w:rPr>
        <w:t>e</w:t>
      </w:r>
      <w:r w:rsidR="005A2043" w:rsidRPr="00BB7367">
        <w:rPr>
          <w:sz w:val="24"/>
          <w:szCs w:val="24"/>
        </w:rPr>
        <w:t xml:space="preserve">vidence and </w:t>
      </w:r>
      <w:r w:rsidR="004F7B0D">
        <w:rPr>
          <w:sz w:val="24"/>
          <w:szCs w:val="24"/>
        </w:rPr>
        <w:t>e</w:t>
      </w:r>
      <w:r w:rsidR="005A2043" w:rsidRPr="00BB7367">
        <w:rPr>
          <w:sz w:val="24"/>
          <w:szCs w:val="24"/>
        </w:rPr>
        <w:t>nforcement guidelines</w:t>
      </w:r>
    </w:p>
    <w:p w:rsidR="00E7245F" w:rsidRPr="00BB7367" w:rsidRDefault="00E7245F" w:rsidP="007376C7">
      <w:pPr>
        <w:pStyle w:val="BodyText"/>
        <w:numPr>
          <w:ilvl w:val="0"/>
          <w:numId w:val="1"/>
        </w:numPr>
        <w:spacing w:after="160" w:line="240" w:lineRule="auto"/>
        <w:ind w:left="567" w:hanging="425"/>
        <w:rPr>
          <w:sz w:val="24"/>
          <w:szCs w:val="24"/>
        </w:rPr>
      </w:pPr>
      <w:r>
        <w:rPr>
          <w:sz w:val="24"/>
          <w:szCs w:val="24"/>
        </w:rPr>
        <w:t>t</w:t>
      </w:r>
      <w:r w:rsidRPr="00BB7367">
        <w:rPr>
          <w:sz w:val="24"/>
          <w:szCs w:val="24"/>
        </w:rPr>
        <w:t>he appropriateness of the NRSCH and its tier structure for analysing and responding to risk</w:t>
      </w:r>
    </w:p>
    <w:p w:rsidR="00157BFD" w:rsidRDefault="00157BFD" w:rsidP="007376C7">
      <w:pPr>
        <w:pStyle w:val="BodyText"/>
        <w:numPr>
          <w:ilvl w:val="0"/>
          <w:numId w:val="1"/>
        </w:numPr>
        <w:spacing w:after="160" w:line="240" w:lineRule="auto"/>
        <w:ind w:left="567" w:hanging="425"/>
        <w:rPr>
          <w:sz w:val="24"/>
          <w:szCs w:val="24"/>
        </w:rPr>
      </w:pPr>
      <w:r>
        <w:rPr>
          <w:sz w:val="24"/>
          <w:szCs w:val="24"/>
        </w:rPr>
        <w:t>b</w:t>
      </w:r>
      <w:r w:rsidR="005A2043" w:rsidRPr="00BB7367">
        <w:rPr>
          <w:sz w:val="24"/>
          <w:szCs w:val="24"/>
        </w:rPr>
        <w:t xml:space="preserve">arriers </w:t>
      </w:r>
      <w:r w:rsidR="00E279FF" w:rsidRPr="00BB7367">
        <w:rPr>
          <w:sz w:val="24"/>
          <w:szCs w:val="24"/>
        </w:rPr>
        <w:t>to the</w:t>
      </w:r>
      <w:r w:rsidR="005A2043" w:rsidRPr="00BB7367">
        <w:rPr>
          <w:sz w:val="24"/>
          <w:szCs w:val="24"/>
        </w:rPr>
        <w:t xml:space="preserve"> consistent application of the NRSCH</w:t>
      </w:r>
      <w:r w:rsidR="00E279FF" w:rsidRPr="00BB7367">
        <w:rPr>
          <w:sz w:val="24"/>
          <w:szCs w:val="24"/>
        </w:rPr>
        <w:t xml:space="preserve"> and consistent policy setting</w:t>
      </w:r>
      <w:r w:rsidR="005A2043" w:rsidRPr="00BB7367">
        <w:rPr>
          <w:sz w:val="24"/>
          <w:szCs w:val="24"/>
        </w:rPr>
        <w:t xml:space="preserve"> across jurisdictions</w:t>
      </w:r>
      <w:r>
        <w:rPr>
          <w:sz w:val="24"/>
          <w:szCs w:val="24"/>
        </w:rPr>
        <w:t>, including:</w:t>
      </w:r>
    </w:p>
    <w:p w:rsidR="005A2043" w:rsidRPr="007376C7" w:rsidRDefault="00157BFD" w:rsidP="007376C7">
      <w:pPr>
        <w:pStyle w:val="BodyText"/>
        <w:numPr>
          <w:ilvl w:val="1"/>
          <w:numId w:val="1"/>
        </w:numPr>
        <w:spacing w:after="160" w:line="240" w:lineRule="auto"/>
        <w:rPr>
          <w:sz w:val="24"/>
          <w:szCs w:val="24"/>
        </w:rPr>
      </w:pPr>
      <w:r>
        <w:rPr>
          <w:sz w:val="24"/>
          <w:szCs w:val="24"/>
        </w:rPr>
        <w:t>b</w:t>
      </w:r>
      <w:r w:rsidRPr="00BB7367">
        <w:rPr>
          <w:sz w:val="24"/>
          <w:szCs w:val="24"/>
        </w:rPr>
        <w:t>arriers to the entry</w:t>
      </w:r>
      <w:r w:rsidR="00EC2629">
        <w:rPr>
          <w:sz w:val="24"/>
          <w:szCs w:val="24"/>
        </w:rPr>
        <w:t>, and possible changes to the NRSCH to support</w:t>
      </w:r>
      <w:r w:rsidRPr="00BB7367">
        <w:rPr>
          <w:sz w:val="24"/>
          <w:szCs w:val="24"/>
        </w:rPr>
        <w:t xml:space="preserve"> the entry of </w:t>
      </w:r>
      <w:r>
        <w:rPr>
          <w:sz w:val="24"/>
          <w:szCs w:val="24"/>
        </w:rPr>
        <w:t>Western Australia</w:t>
      </w:r>
      <w:r w:rsidRPr="00BB7367">
        <w:rPr>
          <w:sz w:val="24"/>
          <w:szCs w:val="24"/>
        </w:rPr>
        <w:t xml:space="preserve"> and </w:t>
      </w:r>
      <w:r>
        <w:rPr>
          <w:sz w:val="24"/>
          <w:szCs w:val="24"/>
        </w:rPr>
        <w:t>Victoria</w:t>
      </w:r>
      <w:r w:rsidRPr="00BB7367">
        <w:rPr>
          <w:sz w:val="24"/>
          <w:szCs w:val="24"/>
        </w:rPr>
        <w:t xml:space="preserve"> in</w:t>
      </w:r>
      <w:r>
        <w:rPr>
          <w:sz w:val="24"/>
          <w:szCs w:val="24"/>
        </w:rPr>
        <w:t>to a national regulatory system</w:t>
      </w:r>
    </w:p>
    <w:p w:rsidR="002E7AB4" w:rsidRPr="00BB7367" w:rsidRDefault="00157BFD" w:rsidP="007376C7">
      <w:pPr>
        <w:pStyle w:val="BodyText"/>
        <w:numPr>
          <w:ilvl w:val="0"/>
          <w:numId w:val="1"/>
        </w:numPr>
        <w:spacing w:after="160" w:line="240" w:lineRule="auto"/>
        <w:ind w:left="567" w:hanging="425"/>
        <w:rPr>
          <w:sz w:val="24"/>
          <w:szCs w:val="24"/>
        </w:rPr>
      </w:pPr>
      <w:r>
        <w:rPr>
          <w:sz w:val="24"/>
          <w:szCs w:val="24"/>
        </w:rPr>
        <w:t>r</w:t>
      </w:r>
      <w:r w:rsidR="002E7AB4" w:rsidRPr="00BB7367">
        <w:rPr>
          <w:sz w:val="24"/>
          <w:szCs w:val="24"/>
        </w:rPr>
        <w:t xml:space="preserve">egulatory </w:t>
      </w:r>
      <w:r w:rsidR="0008270A" w:rsidRPr="00BB7367">
        <w:rPr>
          <w:sz w:val="24"/>
          <w:szCs w:val="24"/>
        </w:rPr>
        <w:t>practices and lessons that c</w:t>
      </w:r>
      <w:r w:rsidR="004D5AD8">
        <w:rPr>
          <w:sz w:val="24"/>
          <w:szCs w:val="24"/>
        </w:rPr>
        <w:t>ould</w:t>
      </w:r>
      <w:r w:rsidR="0008270A" w:rsidRPr="00BB7367">
        <w:rPr>
          <w:sz w:val="24"/>
          <w:szCs w:val="24"/>
        </w:rPr>
        <w:t xml:space="preserve"> be transferred from the </w:t>
      </w:r>
      <w:r w:rsidR="009946E0">
        <w:rPr>
          <w:sz w:val="24"/>
          <w:szCs w:val="24"/>
        </w:rPr>
        <w:t>V</w:t>
      </w:r>
      <w:r w:rsidR="004F7B0D">
        <w:rPr>
          <w:sz w:val="24"/>
          <w:szCs w:val="24"/>
        </w:rPr>
        <w:t>ictorian</w:t>
      </w:r>
      <w:r w:rsidR="0008270A" w:rsidRPr="00BB7367">
        <w:rPr>
          <w:sz w:val="24"/>
          <w:szCs w:val="24"/>
        </w:rPr>
        <w:t xml:space="preserve"> regulatory system into a national regulatory system</w:t>
      </w:r>
    </w:p>
    <w:p w:rsidR="005A2043" w:rsidRPr="00BB7367" w:rsidRDefault="00EC2629" w:rsidP="007376C7">
      <w:pPr>
        <w:pStyle w:val="BodyText"/>
        <w:numPr>
          <w:ilvl w:val="0"/>
          <w:numId w:val="1"/>
        </w:numPr>
        <w:spacing w:after="160" w:line="240" w:lineRule="auto"/>
        <w:ind w:left="567" w:hanging="425"/>
        <w:rPr>
          <w:sz w:val="24"/>
          <w:szCs w:val="24"/>
        </w:rPr>
      </w:pPr>
      <w:r>
        <w:rPr>
          <w:sz w:val="24"/>
          <w:szCs w:val="24"/>
        </w:rPr>
        <w:t>t</w:t>
      </w:r>
      <w:r w:rsidR="005A2043" w:rsidRPr="00BB7367">
        <w:rPr>
          <w:sz w:val="24"/>
          <w:szCs w:val="24"/>
        </w:rPr>
        <w:t>he operation and adequacy of current reporting requirements including the National register</w:t>
      </w:r>
    </w:p>
    <w:p w:rsidR="005A2043" w:rsidRPr="00BB7367" w:rsidRDefault="00EC2629" w:rsidP="007376C7">
      <w:pPr>
        <w:pStyle w:val="BodyText"/>
        <w:numPr>
          <w:ilvl w:val="0"/>
          <w:numId w:val="1"/>
        </w:numPr>
        <w:spacing w:after="160" w:line="240" w:lineRule="auto"/>
        <w:ind w:left="567" w:hanging="425"/>
        <w:rPr>
          <w:sz w:val="24"/>
          <w:szCs w:val="24"/>
        </w:rPr>
      </w:pPr>
      <w:r>
        <w:rPr>
          <w:sz w:val="24"/>
          <w:szCs w:val="24"/>
        </w:rPr>
        <w:t>i</w:t>
      </w:r>
      <w:r w:rsidR="005A2043" w:rsidRPr="00BB7367">
        <w:rPr>
          <w:sz w:val="24"/>
          <w:szCs w:val="24"/>
        </w:rPr>
        <w:t>mpediments to better use, and analysis of, data currently collected from providers including sharing protocols and public reporting</w:t>
      </w:r>
    </w:p>
    <w:p w:rsidR="005A2043" w:rsidRPr="00BB7367" w:rsidRDefault="00EC2629" w:rsidP="007376C7">
      <w:pPr>
        <w:pStyle w:val="BodyText"/>
        <w:numPr>
          <w:ilvl w:val="0"/>
          <w:numId w:val="1"/>
        </w:numPr>
        <w:spacing w:after="160" w:line="240" w:lineRule="auto"/>
        <w:ind w:left="567" w:hanging="425"/>
        <w:rPr>
          <w:sz w:val="24"/>
          <w:szCs w:val="24"/>
        </w:rPr>
      </w:pPr>
      <w:r>
        <w:rPr>
          <w:sz w:val="24"/>
          <w:szCs w:val="24"/>
        </w:rPr>
        <w:lastRenderedPageBreak/>
        <w:t>c</w:t>
      </w:r>
      <w:r w:rsidR="005A2043" w:rsidRPr="00BB7367">
        <w:rPr>
          <w:sz w:val="24"/>
          <w:szCs w:val="24"/>
        </w:rPr>
        <w:t>ompliance processes undertaken by state and territory registrars with respect to the application of the NRSCH, including the appropriateness and consistency of current appeal mechanisms</w:t>
      </w:r>
    </w:p>
    <w:p w:rsidR="005A2043" w:rsidRPr="00BB7367" w:rsidRDefault="00EC2629" w:rsidP="007376C7">
      <w:pPr>
        <w:pStyle w:val="BodyText"/>
        <w:numPr>
          <w:ilvl w:val="0"/>
          <w:numId w:val="1"/>
        </w:numPr>
        <w:spacing w:after="160" w:line="240" w:lineRule="auto"/>
        <w:ind w:left="567" w:hanging="425"/>
        <w:rPr>
          <w:sz w:val="24"/>
          <w:szCs w:val="24"/>
        </w:rPr>
      </w:pPr>
      <w:r>
        <w:rPr>
          <w:sz w:val="24"/>
          <w:szCs w:val="24"/>
        </w:rPr>
        <w:t>p</w:t>
      </w:r>
      <w:r w:rsidR="005A2043" w:rsidRPr="00BB7367">
        <w:rPr>
          <w:sz w:val="24"/>
          <w:szCs w:val="24"/>
        </w:rPr>
        <w:t>ossible changes to the NRSCH, including its reporting framework, to support the implementation of the National Housing Finance and Investment Corporation, with specific reference to financial viability, risk management and governance</w:t>
      </w:r>
    </w:p>
    <w:p w:rsidR="005A2043" w:rsidRPr="00BB7367" w:rsidRDefault="00EC2629" w:rsidP="007376C7">
      <w:pPr>
        <w:pStyle w:val="BodyText"/>
        <w:numPr>
          <w:ilvl w:val="0"/>
          <w:numId w:val="1"/>
        </w:numPr>
        <w:spacing w:after="160" w:line="240" w:lineRule="auto"/>
        <w:ind w:left="567" w:hanging="425"/>
        <w:rPr>
          <w:sz w:val="24"/>
          <w:szCs w:val="24"/>
        </w:rPr>
      </w:pPr>
      <w:r>
        <w:rPr>
          <w:sz w:val="24"/>
          <w:szCs w:val="24"/>
        </w:rPr>
        <w:t>h</w:t>
      </w:r>
      <w:r w:rsidR="005A2043" w:rsidRPr="00BB7367">
        <w:rPr>
          <w:sz w:val="24"/>
          <w:szCs w:val="24"/>
        </w:rPr>
        <w:t xml:space="preserve">ow to improve partnerships and interactions between governments, Registrars, Community Housing Providers </w:t>
      </w:r>
      <w:r w:rsidR="009946E0">
        <w:rPr>
          <w:sz w:val="24"/>
          <w:szCs w:val="24"/>
        </w:rPr>
        <w:t xml:space="preserve">(CHP) </w:t>
      </w:r>
      <w:r w:rsidR="005A2043" w:rsidRPr="00BB7367">
        <w:rPr>
          <w:sz w:val="24"/>
          <w:szCs w:val="24"/>
        </w:rPr>
        <w:t>and service providers to improve outcomes for social housing tenants, especially those who are vulnerable and/or disadvantaged</w:t>
      </w:r>
    </w:p>
    <w:p w:rsidR="005A2043" w:rsidRPr="00BB7367" w:rsidRDefault="00EC2629" w:rsidP="007376C7">
      <w:pPr>
        <w:pStyle w:val="BodyText"/>
        <w:numPr>
          <w:ilvl w:val="0"/>
          <w:numId w:val="1"/>
        </w:numPr>
        <w:spacing w:after="160" w:line="240" w:lineRule="auto"/>
        <w:ind w:left="567" w:hanging="425"/>
        <w:rPr>
          <w:sz w:val="24"/>
          <w:szCs w:val="24"/>
        </w:rPr>
      </w:pPr>
      <w:r>
        <w:rPr>
          <w:sz w:val="24"/>
          <w:szCs w:val="24"/>
        </w:rPr>
        <w:t>t</w:t>
      </w:r>
      <w:r w:rsidR="005A2043" w:rsidRPr="00BB7367">
        <w:rPr>
          <w:sz w:val="24"/>
          <w:szCs w:val="24"/>
        </w:rPr>
        <w:t xml:space="preserve">he </w:t>
      </w:r>
      <w:r w:rsidR="00E7245F">
        <w:rPr>
          <w:sz w:val="24"/>
          <w:szCs w:val="24"/>
        </w:rPr>
        <w:t>type of capacity building required</w:t>
      </w:r>
      <w:r w:rsidR="005A2043" w:rsidRPr="00BB7367">
        <w:rPr>
          <w:sz w:val="24"/>
          <w:szCs w:val="24"/>
        </w:rPr>
        <w:t xml:space="preserve"> to facilitate sector growth.</w:t>
      </w:r>
    </w:p>
    <w:p w:rsidR="005A2043" w:rsidRDefault="005A2043" w:rsidP="00294406">
      <w:pPr>
        <w:spacing w:before="160" w:after="160"/>
        <w:rPr>
          <w:sz w:val="24"/>
          <w:szCs w:val="24"/>
        </w:rPr>
      </w:pPr>
      <w:r w:rsidRPr="00BB7367">
        <w:rPr>
          <w:sz w:val="24"/>
          <w:szCs w:val="24"/>
        </w:rPr>
        <w:t xml:space="preserve">The </w:t>
      </w:r>
      <w:r w:rsidR="00665EB6">
        <w:rPr>
          <w:sz w:val="24"/>
          <w:szCs w:val="24"/>
        </w:rPr>
        <w:t>w</w:t>
      </w:r>
      <w:r w:rsidRPr="00BB7367">
        <w:rPr>
          <w:sz w:val="24"/>
          <w:szCs w:val="24"/>
        </w:rPr>
        <w:t xml:space="preserve">orking </w:t>
      </w:r>
      <w:r w:rsidR="00665EB6">
        <w:rPr>
          <w:sz w:val="24"/>
          <w:szCs w:val="24"/>
        </w:rPr>
        <w:t>g</w:t>
      </w:r>
      <w:r w:rsidRPr="00BB7367">
        <w:rPr>
          <w:sz w:val="24"/>
          <w:szCs w:val="24"/>
        </w:rPr>
        <w:t>roup will not consider:</w:t>
      </w:r>
    </w:p>
    <w:p w:rsidR="003C7563" w:rsidRPr="00BB7367" w:rsidRDefault="003C7563" w:rsidP="007376C7">
      <w:pPr>
        <w:pStyle w:val="BodyText"/>
        <w:numPr>
          <w:ilvl w:val="0"/>
          <w:numId w:val="1"/>
        </w:numPr>
        <w:spacing w:after="160" w:line="240" w:lineRule="auto"/>
        <w:ind w:left="567" w:hanging="425"/>
        <w:rPr>
          <w:sz w:val="24"/>
          <w:szCs w:val="24"/>
        </w:rPr>
      </w:pPr>
      <w:r w:rsidRPr="00BB7367">
        <w:rPr>
          <w:sz w:val="24"/>
          <w:szCs w:val="24"/>
        </w:rPr>
        <w:t>regulation of public housing</w:t>
      </w:r>
    </w:p>
    <w:p w:rsidR="005A2043" w:rsidRPr="00BB7367" w:rsidRDefault="005A2043" w:rsidP="007376C7">
      <w:pPr>
        <w:pStyle w:val="BodyText"/>
        <w:numPr>
          <w:ilvl w:val="0"/>
          <w:numId w:val="1"/>
        </w:numPr>
        <w:spacing w:after="160" w:line="240" w:lineRule="auto"/>
        <w:ind w:left="567" w:hanging="425"/>
        <w:rPr>
          <w:sz w:val="24"/>
          <w:szCs w:val="24"/>
        </w:rPr>
      </w:pPr>
      <w:r w:rsidRPr="00BB7367">
        <w:rPr>
          <w:sz w:val="24"/>
          <w:szCs w:val="24"/>
        </w:rPr>
        <w:t xml:space="preserve">the </w:t>
      </w:r>
      <w:r w:rsidR="00063AA3">
        <w:rPr>
          <w:sz w:val="24"/>
          <w:szCs w:val="24"/>
        </w:rPr>
        <w:t>regulation</w:t>
      </w:r>
      <w:r w:rsidR="00063AA3" w:rsidRPr="00BB7367">
        <w:rPr>
          <w:sz w:val="24"/>
          <w:szCs w:val="24"/>
        </w:rPr>
        <w:t xml:space="preserve"> </w:t>
      </w:r>
      <w:r w:rsidRPr="00BB7367">
        <w:rPr>
          <w:sz w:val="24"/>
          <w:szCs w:val="24"/>
        </w:rPr>
        <w:t>of the N</w:t>
      </w:r>
      <w:r w:rsidR="004F7B0D">
        <w:rPr>
          <w:sz w:val="24"/>
          <w:szCs w:val="24"/>
        </w:rPr>
        <w:t>ational Disability and Insurance Scheme</w:t>
      </w:r>
      <w:r w:rsidRPr="00BB7367">
        <w:rPr>
          <w:sz w:val="24"/>
          <w:szCs w:val="24"/>
        </w:rPr>
        <w:t xml:space="preserve"> and Specialist Disability Accommodation</w:t>
      </w:r>
    </w:p>
    <w:p w:rsidR="005A2043" w:rsidRPr="00BB7367" w:rsidRDefault="005A2043" w:rsidP="007376C7">
      <w:pPr>
        <w:pStyle w:val="BodyText"/>
        <w:numPr>
          <w:ilvl w:val="0"/>
          <w:numId w:val="1"/>
        </w:numPr>
        <w:spacing w:after="160" w:line="240" w:lineRule="auto"/>
        <w:ind w:left="567" w:hanging="425"/>
        <w:rPr>
          <w:sz w:val="24"/>
          <w:szCs w:val="24"/>
        </w:rPr>
      </w:pPr>
      <w:r w:rsidRPr="00BB7367">
        <w:rPr>
          <w:sz w:val="24"/>
          <w:szCs w:val="24"/>
        </w:rPr>
        <w:t xml:space="preserve">performance-based contracting </w:t>
      </w:r>
    </w:p>
    <w:p w:rsidR="005A2043" w:rsidRPr="00BB7367" w:rsidRDefault="005A2043" w:rsidP="007376C7">
      <w:pPr>
        <w:pStyle w:val="BodyText"/>
        <w:numPr>
          <w:ilvl w:val="0"/>
          <w:numId w:val="1"/>
        </w:numPr>
        <w:spacing w:after="160" w:line="240" w:lineRule="auto"/>
        <w:ind w:left="567" w:hanging="425"/>
        <w:rPr>
          <w:sz w:val="24"/>
          <w:szCs w:val="24"/>
        </w:rPr>
      </w:pPr>
      <w:r w:rsidRPr="00BB7367">
        <w:rPr>
          <w:sz w:val="24"/>
          <w:szCs w:val="24"/>
        </w:rPr>
        <w:t>the National Community Housing Standards</w:t>
      </w:r>
      <w:r w:rsidR="007376C7">
        <w:rPr>
          <w:rStyle w:val="FootnoteReference"/>
          <w:sz w:val="24"/>
          <w:szCs w:val="24"/>
        </w:rPr>
        <w:footnoteReference w:id="3"/>
      </w:r>
      <w:r w:rsidRPr="00BB7367">
        <w:rPr>
          <w:sz w:val="24"/>
          <w:szCs w:val="24"/>
        </w:rPr>
        <w:t xml:space="preserve">. </w:t>
      </w:r>
    </w:p>
    <w:p w:rsidR="005A2043" w:rsidRPr="00294406" w:rsidRDefault="005A2043" w:rsidP="00294406">
      <w:pPr>
        <w:pStyle w:val="Heading2"/>
        <w:keepNext/>
        <w:spacing w:before="240" w:after="60"/>
        <w:rPr>
          <w:rFonts w:eastAsia="Times New Roman" w:cs="Arial"/>
          <w:iCs/>
          <w:color w:val="002664"/>
          <w:sz w:val="32"/>
          <w:szCs w:val="28"/>
          <w:lang w:eastAsia="en-AU"/>
        </w:rPr>
      </w:pPr>
      <w:r w:rsidRPr="00294406">
        <w:rPr>
          <w:rFonts w:eastAsia="Times New Roman" w:cs="Arial"/>
          <w:iCs/>
          <w:color w:val="002664"/>
          <w:sz w:val="32"/>
          <w:szCs w:val="28"/>
          <w:lang w:eastAsia="en-AU"/>
        </w:rPr>
        <w:t>Process</w:t>
      </w:r>
    </w:p>
    <w:p w:rsidR="00E94EC8" w:rsidRPr="001875CA" w:rsidRDefault="005A2043" w:rsidP="00294406">
      <w:pPr>
        <w:spacing w:before="160" w:after="160"/>
        <w:rPr>
          <w:sz w:val="24"/>
          <w:szCs w:val="24"/>
        </w:rPr>
      </w:pPr>
      <w:r w:rsidRPr="001875CA">
        <w:rPr>
          <w:sz w:val="24"/>
          <w:szCs w:val="24"/>
        </w:rPr>
        <w:t xml:space="preserve">The </w:t>
      </w:r>
      <w:r w:rsidR="00665EB6" w:rsidRPr="001875CA">
        <w:rPr>
          <w:sz w:val="24"/>
          <w:szCs w:val="24"/>
        </w:rPr>
        <w:t>w</w:t>
      </w:r>
      <w:r w:rsidRPr="001875CA">
        <w:rPr>
          <w:sz w:val="24"/>
          <w:szCs w:val="24"/>
        </w:rPr>
        <w:t>o</w:t>
      </w:r>
      <w:r w:rsidR="00856E3E" w:rsidRPr="001875CA">
        <w:rPr>
          <w:sz w:val="24"/>
          <w:szCs w:val="24"/>
        </w:rPr>
        <w:t xml:space="preserve">rking </w:t>
      </w:r>
      <w:r w:rsidR="00665EB6" w:rsidRPr="001875CA">
        <w:rPr>
          <w:sz w:val="24"/>
          <w:szCs w:val="24"/>
        </w:rPr>
        <w:t>g</w:t>
      </w:r>
      <w:r w:rsidR="00856E3E" w:rsidRPr="001875CA">
        <w:rPr>
          <w:sz w:val="24"/>
          <w:szCs w:val="24"/>
        </w:rPr>
        <w:t>roup will undertake a three</w:t>
      </w:r>
      <w:r w:rsidRPr="001875CA">
        <w:rPr>
          <w:sz w:val="24"/>
          <w:szCs w:val="24"/>
        </w:rPr>
        <w:t xml:space="preserve">-stage process. The first stage of the process will involve the development of a discussion paper evaluating the effectiveness </w:t>
      </w:r>
      <w:r w:rsidR="0008270A" w:rsidRPr="001875CA">
        <w:rPr>
          <w:sz w:val="24"/>
          <w:szCs w:val="24"/>
        </w:rPr>
        <w:t xml:space="preserve">and operation </w:t>
      </w:r>
      <w:r w:rsidRPr="001875CA">
        <w:rPr>
          <w:sz w:val="24"/>
          <w:szCs w:val="24"/>
        </w:rPr>
        <w:t>of, as well as current issues with, the operation of the NRSCH</w:t>
      </w:r>
      <w:r w:rsidR="0008270A" w:rsidRPr="001875CA">
        <w:rPr>
          <w:sz w:val="24"/>
          <w:szCs w:val="24"/>
        </w:rPr>
        <w:t xml:space="preserve"> and the effects of </w:t>
      </w:r>
      <w:r w:rsidR="00526EF3" w:rsidRPr="001875CA">
        <w:rPr>
          <w:sz w:val="24"/>
          <w:szCs w:val="24"/>
        </w:rPr>
        <w:t xml:space="preserve">Victoria and </w:t>
      </w:r>
      <w:r w:rsidR="004F7B0D" w:rsidRPr="001875CA">
        <w:rPr>
          <w:sz w:val="24"/>
          <w:szCs w:val="24"/>
        </w:rPr>
        <w:t xml:space="preserve">Western Australia </w:t>
      </w:r>
      <w:r w:rsidR="0008270A" w:rsidRPr="001875CA">
        <w:rPr>
          <w:sz w:val="24"/>
          <w:szCs w:val="24"/>
        </w:rPr>
        <w:t>not being part of a national regulatory system</w:t>
      </w:r>
      <w:r w:rsidRPr="001875CA">
        <w:rPr>
          <w:sz w:val="24"/>
          <w:szCs w:val="24"/>
        </w:rPr>
        <w:t>.</w:t>
      </w:r>
    </w:p>
    <w:p w:rsidR="005A2043" w:rsidRPr="001875CA" w:rsidRDefault="00E94EC8" w:rsidP="00294406">
      <w:pPr>
        <w:spacing w:before="160" w:after="160"/>
        <w:rPr>
          <w:sz w:val="24"/>
          <w:szCs w:val="24"/>
        </w:rPr>
      </w:pPr>
      <w:r w:rsidRPr="001875CA">
        <w:rPr>
          <w:sz w:val="24"/>
          <w:szCs w:val="24"/>
        </w:rPr>
        <w:t xml:space="preserve">The discussion paper is expected to be released for public consultation in </w:t>
      </w:r>
      <w:r w:rsidR="00E54518">
        <w:rPr>
          <w:sz w:val="24"/>
          <w:szCs w:val="24"/>
        </w:rPr>
        <w:t xml:space="preserve">November </w:t>
      </w:r>
      <w:r w:rsidRPr="001875CA">
        <w:rPr>
          <w:sz w:val="24"/>
          <w:szCs w:val="24"/>
        </w:rPr>
        <w:t>2018</w:t>
      </w:r>
      <w:r w:rsidR="005A2043" w:rsidRPr="001875CA">
        <w:rPr>
          <w:sz w:val="24"/>
          <w:szCs w:val="24"/>
        </w:rPr>
        <w:t xml:space="preserve">. </w:t>
      </w:r>
    </w:p>
    <w:p w:rsidR="005A2043" w:rsidRPr="001875CA" w:rsidRDefault="005A2043" w:rsidP="00294406">
      <w:pPr>
        <w:spacing w:before="160" w:after="160"/>
        <w:rPr>
          <w:sz w:val="24"/>
          <w:szCs w:val="24"/>
        </w:rPr>
      </w:pPr>
      <w:r w:rsidRPr="001875CA">
        <w:rPr>
          <w:sz w:val="24"/>
          <w:szCs w:val="24"/>
        </w:rPr>
        <w:t xml:space="preserve">The second stage of the process will involve the development of a </w:t>
      </w:r>
      <w:r w:rsidR="00063AA3" w:rsidRPr="001875CA">
        <w:rPr>
          <w:sz w:val="24"/>
          <w:szCs w:val="24"/>
        </w:rPr>
        <w:t>consultation</w:t>
      </w:r>
      <w:r w:rsidRPr="001875CA">
        <w:rPr>
          <w:sz w:val="24"/>
          <w:szCs w:val="24"/>
        </w:rPr>
        <w:t xml:space="preserve"> paper outlining potential reforms to the operation of the NRSCH, informed by public submissions received in relation to the first stage of this process. </w:t>
      </w:r>
    </w:p>
    <w:p w:rsidR="00665EB6" w:rsidRPr="001875CA" w:rsidRDefault="00E94EC8" w:rsidP="00294406">
      <w:pPr>
        <w:spacing w:before="160" w:after="160"/>
        <w:rPr>
          <w:sz w:val="24"/>
          <w:szCs w:val="24"/>
        </w:rPr>
      </w:pPr>
      <w:r w:rsidRPr="001875CA">
        <w:rPr>
          <w:sz w:val="24"/>
          <w:szCs w:val="24"/>
        </w:rPr>
        <w:t xml:space="preserve">The options paper is expected to be released for public consultation in </w:t>
      </w:r>
      <w:r w:rsidR="00E54518">
        <w:rPr>
          <w:sz w:val="24"/>
          <w:szCs w:val="24"/>
        </w:rPr>
        <w:t xml:space="preserve">July </w:t>
      </w:r>
      <w:r w:rsidRPr="001875CA">
        <w:rPr>
          <w:sz w:val="24"/>
          <w:szCs w:val="24"/>
        </w:rPr>
        <w:t>2019</w:t>
      </w:r>
      <w:r w:rsidR="00E833C0" w:rsidRPr="001875CA">
        <w:rPr>
          <w:sz w:val="24"/>
          <w:szCs w:val="24"/>
        </w:rPr>
        <w:t>.</w:t>
      </w:r>
      <w:r w:rsidR="007376C7" w:rsidRPr="001875CA">
        <w:rPr>
          <w:rStyle w:val="FootnoteReference"/>
          <w:sz w:val="24"/>
          <w:szCs w:val="24"/>
        </w:rPr>
        <w:footnoteReference w:id="4"/>
      </w:r>
    </w:p>
    <w:p w:rsidR="005A2043" w:rsidRPr="001875CA" w:rsidRDefault="005A2043" w:rsidP="00294406">
      <w:pPr>
        <w:spacing w:before="160" w:after="160"/>
        <w:rPr>
          <w:sz w:val="24"/>
          <w:szCs w:val="24"/>
        </w:rPr>
      </w:pPr>
      <w:r w:rsidRPr="001875CA">
        <w:rPr>
          <w:sz w:val="24"/>
          <w:szCs w:val="24"/>
        </w:rPr>
        <w:lastRenderedPageBreak/>
        <w:t xml:space="preserve">Following the completion of public consultation on the second paper, </w:t>
      </w:r>
      <w:r w:rsidR="00856E3E" w:rsidRPr="001875CA">
        <w:rPr>
          <w:sz w:val="24"/>
          <w:szCs w:val="24"/>
        </w:rPr>
        <w:t xml:space="preserve">the third stage will involve writing </w:t>
      </w:r>
      <w:r w:rsidRPr="001875CA">
        <w:rPr>
          <w:sz w:val="24"/>
          <w:szCs w:val="24"/>
        </w:rPr>
        <w:t>a final report summarising the outcomes of the process and</w:t>
      </w:r>
      <w:r w:rsidR="00856E3E" w:rsidRPr="001875CA">
        <w:rPr>
          <w:sz w:val="24"/>
          <w:szCs w:val="24"/>
        </w:rPr>
        <w:t xml:space="preserve"> </w:t>
      </w:r>
      <w:r w:rsidR="00063AA3" w:rsidRPr="001875CA">
        <w:rPr>
          <w:sz w:val="24"/>
          <w:szCs w:val="24"/>
        </w:rPr>
        <w:t xml:space="preserve">proposing </w:t>
      </w:r>
      <w:r w:rsidR="00856E3E" w:rsidRPr="001875CA">
        <w:rPr>
          <w:sz w:val="24"/>
          <w:szCs w:val="24"/>
        </w:rPr>
        <w:t>recommendations</w:t>
      </w:r>
      <w:r w:rsidR="005D60C8" w:rsidRPr="001875CA">
        <w:rPr>
          <w:sz w:val="24"/>
          <w:szCs w:val="24"/>
        </w:rPr>
        <w:t xml:space="preserve"> </w:t>
      </w:r>
      <w:r w:rsidR="00856E3E" w:rsidRPr="001875CA">
        <w:rPr>
          <w:sz w:val="24"/>
          <w:szCs w:val="24"/>
        </w:rPr>
        <w:t>for</w:t>
      </w:r>
      <w:r w:rsidR="005D60C8" w:rsidRPr="001875CA">
        <w:rPr>
          <w:sz w:val="24"/>
          <w:szCs w:val="24"/>
        </w:rPr>
        <w:t xml:space="preserve"> </w:t>
      </w:r>
      <w:r w:rsidR="00856E3E" w:rsidRPr="001875CA">
        <w:rPr>
          <w:sz w:val="24"/>
          <w:szCs w:val="24"/>
        </w:rPr>
        <w:t>reform</w:t>
      </w:r>
      <w:r w:rsidRPr="001875CA">
        <w:rPr>
          <w:sz w:val="24"/>
          <w:szCs w:val="24"/>
        </w:rPr>
        <w:t xml:space="preserve">. </w:t>
      </w:r>
    </w:p>
    <w:p w:rsidR="005A2043" w:rsidRPr="00BB7367" w:rsidRDefault="005A2043" w:rsidP="00294406">
      <w:pPr>
        <w:spacing w:before="160" w:after="160"/>
        <w:rPr>
          <w:sz w:val="24"/>
          <w:szCs w:val="24"/>
        </w:rPr>
      </w:pPr>
      <w:r w:rsidRPr="00BB7367">
        <w:rPr>
          <w:sz w:val="24"/>
          <w:szCs w:val="24"/>
        </w:rPr>
        <w:t xml:space="preserve">The </w:t>
      </w:r>
      <w:r w:rsidR="00665EB6">
        <w:rPr>
          <w:sz w:val="24"/>
          <w:szCs w:val="24"/>
        </w:rPr>
        <w:t>w</w:t>
      </w:r>
      <w:r w:rsidRPr="00BB7367">
        <w:rPr>
          <w:sz w:val="24"/>
          <w:szCs w:val="24"/>
        </w:rPr>
        <w:t xml:space="preserve">orking </w:t>
      </w:r>
      <w:r w:rsidR="00665EB6">
        <w:rPr>
          <w:sz w:val="24"/>
          <w:szCs w:val="24"/>
        </w:rPr>
        <w:t>g</w:t>
      </w:r>
      <w:r w:rsidRPr="00BB7367">
        <w:rPr>
          <w:sz w:val="24"/>
          <w:szCs w:val="24"/>
        </w:rPr>
        <w:t xml:space="preserve">roup </w:t>
      </w:r>
      <w:r w:rsidR="00C711B7">
        <w:rPr>
          <w:sz w:val="24"/>
          <w:szCs w:val="24"/>
        </w:rPr>
        <w:t>expects to</w:t>
      </w:r>
      <w:r w:rsidR="00C711B7" w:rsidRPr="00BB7367">
        <w:rPr>
          <w:sz w:val="24"/>
          <w:szCs w:val="24"/>
        </w:rPr>
        <w:t xml:space="preserve"> </w:t>
      </w:r>
      <w:r w:rsidRPr="00BB7367">
        <w:rPr>
          <w:sz w:val="24"/>
          <w:szCs w:val="24"/>
        </w:rPr>
        <w:t xml:space="preserve">provide its final report </w:t>
      </w:r>
      <w:r w:rsidR="00856E3E" w:rsidRPr="00BB7367">
        <w:rPr>
          <w:sz w:val="24"/>
          <w:szCs w:val="24"/>
        </w:rPr>
        <w:t xml:space="preserve">and recommendations </w:t>
      </w:r>
      <w:r w:rsidRPr="00BB7367">
        <w:rPr>
          <w:sz w:val="24"/>
          <w:szCs w:val="24"/>
        </w:rPr>
        <w:t xml:space="preserve">to Housing and Homelessness Ministers by </w:t>
      </w:r>
      <w:r w:rsidR="00063AA3">
        <w:rPr>
          <w:sz w:val="24"/>
          <w:szCs w:val="24"/>
        </w:rPr>
        <w:t xml:space="preserve">October </w:t>
      </w:r>
      <w:r w:rsidR="004F7B0D">
        <w:rPr>
          <w:sz w:val="24"/>
          <w:szCs w:val="24"/>
        </w:rPr>
        <w:t>2019</w:t>
      </w:r>
      <w:r w:rsidRPr="00BB7367">
        <w:rPr>
          <w:sz w:val="24"/>
          <w:szCs w:val="24"/>
        </w:rPr>
        <w:t>.</w:t>
      </w:r>
      <w:r w:rsidR="00E833C0">
        <w:rPr>
          <w:rStyle w:val="FootnoteReference"/>
          <w:sz w:val="24"/>
          <w:szCs w:val="24"/>
        </w:rPr>
        <w:footnoteReference w:id="5"/>
      </w:r>
    </w:p>
    <w:p w:rsidR="00526EF3" w:rsidRDefault="005A2043" w:rsidP="008A5BE8">
      <w:pPr>
        <w:pStyle w:val="Heading3"/>
        <w:spacing w:line="276" w:lineRule="auto"/>
      </w:pPr>
      <w:r w:rsidRPr="008A5BE8">
        <w:t>Membership</w:t>
      </w:r>
    </w:p>
    <w:p w:rsidR="00E90547" w:rsidRPr="001875CA" w:rsidRDefault="00E90547" w:rsidP="00E90547">
      <w:pPr>
        <w:rPr>
          <w:sz w:val="24"/>
          <w:szCs w:val="24"/>
        </w:rPr>
      </w:pPr>
      <w:r w:rsidRPr="001875CA">
        <w:rPr>
          <w:sz w:val="24"/>
          <w:szCs w:val="24"/>
        </w:rPr>
        <w:t>The working group will be co-chaired by the Commonwealth and NSW and consisted of staff from the following:</w:t>
      </w:r>
    </w:p>
    <w:p w:rsidR="00117A73" w:rsidRPr="001875CA" w:rsidRDefault="00117A73" w:rsidP="00117A73">
      <w:pPr>
        <w:pStyle w:val="BodyText"/>
        <w:numPr>
          <w:ilvl w:val="0"/>
          <w:numId w:val="1"/>
        </w:numPr>
        <w:spacing w:after="160" w:line="240" w:lineRule="auto"/>
        <w:ind w:left="567" w:hanging="425"/>
        <w:rPr>
          <w:sz w:val="24"/>
          <w:szCs w:val="24"/>
        </w:rPr>
      </w:pPr>
      <w:r w:rsidRPr="001875CA">
        <w:rPr>
          <w:sz w:val="24"/>
          <w:szCs w:val="24"/>
        </w:rPr>
        <w:t>Commonwealth Department of Social Services</w:t>
      </w:r>
    </w:p>
    <w:p w:rsidR="00E90547" w:rsidRPr="001875CA" w:rsidRDefault="00E90547" w:rsidP="008A5BE8">
      <w:pPr>
        <w:pStyle w:val="BodyText"/>
        <w:numPr>
          <w:ilvl w:val="0"/>
          <w:numId w:val="1"/>
        </w:numPr>
        <w:spacing w:after="160" w:line="240" w:lineRule="auto"/>
        <w:ind w:left="567" w:hanging="425"/>
        <w:rPr>
          <w:sz w:val="24"/>
          <w:szCs w:val="24"/>
        </w:rPr>
      </w:pPr>
      <w:r w:rsidRPr="001875CA">
        <w:rPr>
          <w:sz w:val="24"/>
          <w:szCs w:val="24"/>
        </w:rPr>
        <w:t>NSW Department of Family and Community Services</w:t>
      </w:r>
    </w:p>
    <w:p w:rsidR="00E90547" w:rsidRDefault="00E90547" w:rsidP="008A5BE8">
      <w:pPr>
        <w:pStyle w:val="BodyText"/>
        <w:numPr>
          <w:ilvl w:val="0"/>
          <w:numId w:val="1"/>
        </w:numPr>
        <w:spacing w:after="160" w:line="240" w:lineRule="auto"/>
        <w:ind w:left="567" w:hanging="425"/>
        <w:rPr>
          <w:sz w:val="24"/>
          <w:szCs w:val="24"/>
        </w:rPr>
      </w:pPr>
      <w:r w:rsidRPr="001875CA">
        <w:rPr>
          <w:sz w:val="24"/>
          <w:szCs w:val="24"/>
        </w:rPr>
        <w:t>Victorian Department of Health and Human Services</w:t>
      </w:r>
    </w:p>
    <w:p w:rsidR="00117A73" w:rsidRPr="001875CA" w:rsidRDefault="00117A73" w:rsidP="00073714">
      <w:pPr>
        <w:pStyle w:val="BodyText"/>
        <w:numPr>
          <w:ilvl w:val="0"/>
          <w:numId w:val="1"/>
        </w:numPr>
        <w:spacing w:after="160" w:line="240" w:lineRule="auto"/>
        <w:ind w:left="567" w:hanging="425"/>
        <w:rPr>
          <w:sz w:val="24"/>
          <w:szCs w:val="24"/>
        </w:rPr>
      </w:pPr>
      <w:r>
        <w:rPr>
          <w:sz w:val="24"/>
          <w:szCs w:val="24"/>
        </w:rPr>
        <w:t xml:space="preserve">Queensland </w:t>
      </w:r>
      <w:r w:rsidRPr="00117A73">
        <w:rPr>
          <w:sz w:val="24"/>
          <w:szCs w:val="24"/>
        </w:rPr>
        <w:t>Department of Housing and Public Works</w:t>
      </w:r>
    </w:p>
    <w:p w:rsidR="00437FD2" w:rsidRDefault="00437FD2" w:rsidP="009109B8">
      <w:pPr>
        <w:pStyle w:val="BodyText"/>
        <w:numPr>
          <w:ilvl w:val="0"/>
          <w:numId w:val="1"/>
        </w:numPr>
        <w:spacing w:after="160" w:line="240" w:lineRule="auto"/>
        <w:ind w:left="567" w:hanging="425"/>
        <w:rPr>
          <w:sz w:val="24"/>
          <w:szCs w:val="24"/>
        </w:rPr>
      </w:pPr>
      <w:r>
        <w:rPr>
          <w:sz w:val="24"/>
          <w:szCs w:val="24"/>
        </w:rPr>
        <w:t>Western Australian Department of Communities</w:t>
      </w:r>
    </w:p>
    <w:p w:rsidR="00117A73" w:rsidRPr="001875CA" w:rsidRDefault="00117A73" w:rsidP="009109B8">
      <w:pPr>
        <w:pStyle w:val="BodyText"/>
        <w:numPr>
          <w:ilvl w:val="0"/>
          <w:numId w:val="1"/>
        </w:numPr>
        <w:spacing w:after="160" w:line="240" w:lineRule="auto"/>
        <w:ind w:left="567" w:hanging="425"/>
        <w:rPr>
          <w:sz w:val="24"/>
          <w:szCs w:val="24"/>
        </w:rPr>
      </w:pPr>
      <w:r>
        <w:rPr>
          <w:sz w:val="24"/>
          <w:szCs w:val="24"/>
        </w:rPr>
        <w:t>South Australian Housing Authority</w:t>
      </w:r>
    </w:p>
    <w:p w:rsidR="00117A73" w:rsidRDefault="00117A73" w:rsidP="00117A73">
      <w:pPr>
        <w:pStyle w:val="BodyText"/>
        <w:numPr>
          <w:ilvl w:val="0"/>
          <w:numId w:val="1"/>
        </w:numPr>
        <w:spacing w:after="160" w:line="240" w:lineRule="auto"/>
        <w:ind w:left="567" w:hanging="425"/>
        <w:rPr>
          <w:sz w:val="24"/>
          <w:szCs w:val="24"/>
        </w:rPr>
      </w:pPr>
      <w:r w:rsidRPr="001875CA">
        <w:rPr>
          <w:sz w:val="24"/>
          <w:szCs w:val="24"/>
        </w:rPr>
        <w:t>Australian Capital Territory Housing and Communities Services</w:t>
      </w:r>
    </w:p>
    <w:p w:rsidR="009109B8" w:rsidRPr="001875CA" w:rsidRDefault="00E552FE" w:rsidP="00E552FE">
      <w:pPr>
        <w:pStyle w:val="BodyText"/>
        <w:numPr>
          <w:ilvl w:val="0"/>
          <w:numId w:val="1"/>
        </w:numPr>
        <w:spacing w:after="160" w:line="240" w:lineRule="auto"/>
        <w:ind w:left="567" w:hanging="425"/>
        <w:rPr>
          <w:sz w:val="24"/>
          <w:szCs w:val="24"/>
        </w:rPr>
      </w:pPr>
      <w:r w:rsidRPr="001875CA">
        <w:rPr>
          <w:sz w:val="24"/>
          <w:szCs w:val="24"/>
        </w:rPr>
        <w:t>Commonwealth Treasury</w:t>
      </w:r>
      <w:r w:rsidRPr="001875CA">
        <w:rPr>
          <w:rStyle w:val="FootnoteReference"/>
          <w:sz w:val="24"/>
          <w:szCs w:val="24"/>
        </w:rPr>
        <w:footnoteReference w:id="6"/>
      </w:r>
    </w:p>
    <w:p w:rsidR="005A2043" w:rsidRPr="001875CA" w:rsidRDefault="005A2043" w:rsidP="00294406">
      <w:pPr>
        <w:spacing w:before="160" w:after="160"/>
        <w:rPr>
          <w:sz w:val="24"/>
          <w:szCs w:val="24"/>
        </w:rPr>
      </w:pPr>
      <w:r w:rsidRPr="001875CA">
        <w:rPr>
          <w:sz w:val="24"/>
          <w:szCs w:val="24"/>
        </w:rPr>
        <w:t xml:space="preserve">Jurisdictions will draw on the expertise of relevant housing and planning departments, Treasuries and </w:t>
      </w:r>
      <w:r w:rsidR="00FD49E7" w:rsidRPr="001875CA">
        <w:rPr>
          <w:sz w:val="24"/>
          <w:szCs w:val="24"/>
        </w:rPr>
        <w:t>S</w:t>
      </w:r>
      <w:r w:rsidRPr="001875CA">
        <w:rPr>
          <w:sz w:val="24"/>
          <w:szCs w:val="24"/>
        </w:rPr>
        <w:t xml:space="preserve">tate and </w:t>
      </w:r>
      <w:r w:rsidR="00FD49E7" w:rsidRPr="001875CA">
        <w:rPr>
          <w:sz w:val="24"/>
          <w:szCs w:val="24"/>
        </w:rPr>
        <w:t>T</w:t>
      </w:r>
      <w:r w:rsidRPr="001875CA">
        <w:rPr>
          <w:sz w:val="24"/>
          <w:szCs w:val="24"/>
        </w:rPr>
        <w:t xml:space="preserve">erritory </w:t>
      </w:r>
      <w:r w:rsidR="00FD49E7" w:rsidRPr="001875CA">
        <w:rPr>
          <w:sz w:val="24"/>
          <w:szCs w:val="24"/>
        </w:rPr>
        <w:t>R</w:t>
      </w:r>
      <w:r w:rsidRPr="001875CA">
        <w:rPr>
          <w:sz w:val="24"/>
          <w:szCs w:val="24"/>
        </w:rPr>
        <w:t xml:space="preserve">egistrars as appropriate. </w:t>
      </w:r>
    </w:p>
    <w:p w:rsidR="005A2043" w:rsidRPr="00294406" w:rsidRDefault="005A2043" w:rsidP="00294406">
      <w:pPr>
        <w:pStyle w:val="Heading3"/>
        <w:spacing w:line="276" w:lineRule="auto"/>
      </w:pPr>
      <w:r w:rsidRPr="00294406">
        <w:t xml:space="preserve">Expert </w:t>
      </w:r>
      <w:r w:rsidR="00665EB6">
        <w:t>p</w:t>
      </w:r>
      <w:r w:rsidRPr="00294406">
        <w:t>anel</w:t>
      </w:r>
    </w:p>
    <w:p w:rsidR="00D22407" w:rsidRPr="001875CA" w:rsidRDefault="005A2043" w:rsidP="00D22407">
      <w:pPr>
        <w:rPr>
          <w:sz w:val="24"/>
          <w:szCs w:val="24"/>
        </w:rPr>
      </w:pPr>
      <w:r w:rsidRPr="001875CA">
        <w:rPr>
          <w:sz w:val="24"/>
          <w:szCs w:val="24"/>
        </w:rPr>
        <w:t xml:space="preserve">In undertaking this review, the </w:t>
      </w:r>
      <w:r w:rsidR="00665EB6" w:rsidRPr="001875CA">
        <w:rPr>
          <w:sz w:val="24"/>
          <w:szCs w:val="24"/>
        </w:rPr>
        <w:t>w</w:t>
      </w:r>
      <w:r w:rsidRPr="001875CA">
        <w:rPr>
          <w:sz w:val="24"/>
          <w:szCs w:val="24"/>
        </w:rPr>
        <w:t xml:space="preserve">orking </w:t>
      </w:r>
      <w:r w:rsidR="00665EB6" w:rsidRPr="001875CA">
        <w:rPr>
          <w:sz w:val="24"/>
          <w:szCs w:val="24"/>
        </w:rPr>
        <w:t>g</w:t>
      </w:r>
      <w:r w:rsidRPr="001875CA">
        <w:rPr>
          <w:sz w:val="24"/>
          <w:szCs w:val="24"/>
        </w:rPr>
        <w:t>roup will also establish an expert panel of industry representatives from which to draw expertise and guidance as appropriate.</w:t>
      </w:r>
    </w:p>
    <w:p w:rsidR="00D22407" w:rsidRPr="001875CA" w:rsidRDefault="0014520A" w:rsidP="00D22407">
      <w:pPr>
        <w:rPr>
          <w:sz w:val="24"/>
          <w:szCs w:val="24"/>
        </w:rPr>
      </w:pPr>
      <w:r w:rsidRPr="001875CA">
        <w:rPr>
          <w:sz w:val="24"/>
          <w:szCs w:val="24"/>
        </w:rPr>
        <w:t>The expert panel will be established with the agreement of all jurisdictions and</w:t>
      </w:r>
      <w:r w:rsidR="00D22407" w:rsidRPr="001875CA">
        <w:rPr>
          <w:sz w:val="24"/>
          <w:szCs w:val="24"/>
        </w:rPr>
        <w:t xml:space="preserve"> include:</w:t>
      </w:r>
    </w:p>
    <w:p w:rsidR="00D22407" w:rsidRPr="001875CA" w:rsidRDefault="00DA6824" w:rsidP="00D22407">
      <w:pPr>
        <w:pStyle w:val="BodyText"/>
        <w:numPr>
          <w:ilvl w:val="0"/>
          <w:numId w:val="5"/>
        </w:numPr>
        <w:spacing w:after="160" w:line="240" w:lineRule="auto"/>
        <w:ind w:left="567" w:hanging="425"/>
        <w:rPr>
          <w:sz w:val="24"/>
          <w:szCs w:val="24"/>
        </w:rPr>
      </w:pPr>
      <w:r>
        <w:rPr>
          <w:sz w:val="24"/>
          <w:szCs w:val="24"/>
        </w:rPr>
        <w:t xml:space="preserve">Australian Capital Territory </w:t>
      </w:r>
      <w:r w:rsidR="00D22407" w:rsidRPr="001875CA">
        <w:rPr>
          <w:sz w:val="24"/>
          <w:szCs w:val="24"/>
        </w:rPr>
        <w:t>Community Housing Registrar</w:t>
      </w:r>
    </w:p>
    <w:p w:rsidR="00D22407" w:rsidRPr="001875CA" w:rsidRDefault="00D22407" w:rsidP="00D22407">
      <w:pPr>
        <w:pStyle w:val="BodyText"/>
        <w:numPr>
          <w:ilvl w:val="0"/>
          <w:numId w:val="5"/>
        </w:numPr>
        <w:spacing w:after="160" w:line="240" w:lineRule="auto"/>
        <w:ind w:left="567" w:hanging="425"/>
        <w:rPr>
          <w:sz w:val="24"/>
          <w:szCs w:val="24"/>
        </w:rPr>
      </w:pPr>
      <w:r w:rsidRPr="001875CA">
        <w:rPr>
          <w:sz w:val="24"/>
          <w:szCs w:val="24"/>
        </w:rPr>
        <w:t>an industry representative/expert for Indigenous community housing</w:t>
      </w:r>
    </w:p>
    <w:p w:rsidR="00D22407" w:rsidRPr="001875CA" w:rsidRDefault="00D22407" w:rsidP="00D22407">
      <w:pPr>
        <w:pStyle w:val="BodyText"/>
        <w:numPr>
          <w:ilvl w:val="0"/>
          <w:numId w:val="5"/>
        </w:numPr>
        <w:spacing w:after="160" w:line="240" w:lineRule="auto"/>
        <w:ind w:left="567" w:hanging="425"/>
        <w:rPr>
          <w:sz w:val="24"/>
          <w:szCs w:val="24"/>
        </w:rPr>
      </w:pPr>
      <w:r w:rsidRPr="001875CA">
        <w:rPr>
          <w:sz w:val="24"/>
          <w:szCs w:val="24"/>
        </w:rPr>
        <w:t>a</w:t>
      </w:r>
      <w:r w:rsidR="00E552FE" w:rsidRPr="001875CA">
        <w:rPr>
          <w:sz w:val="24"/>
          <w:szCs w:val="24"/>
        </w:rPr>
        <w:t xml:space="preserve"> community housing</w:t>
      </w:r>
      <w:r w:rsidRPr="001875CA">
        <w:rPr>
          <w:sz w:val="24"/>
          <w:szCs w:val="24"/>
        </w:rPr>
        <w:t xml:space="preserve"> industry representative</w:t>
      </w:r>
    </w:p>
    <w:p w:rsidR="00D22407" w:rsidRPr="001875CA" w:rsidRDefault="00D22407" w:rsidP="008A5BE8">
      <w:pPr>
        <w:pStyle w:val="BodyText"/>
        <w:numPr>
          <w:ilvl w:val="0"/>
          <w:numId w:val="5"/>
        </w:numPr>
        <w:spacing w:after="160" w:line="240" w:lineRule="auto"/>
        <w:ind w:left="567" w:hanging="425"/>
        <w:rPr>
          <w:sz w:val="24"/>
          <w:szCs w:val="24"/>
        </w:rPr>
      </w:pPr>
      <w:r w:rsidRPr="001875CA">
        <w:rPr>
          <w:sz w:val="24"/>
          <w:szCs w:val="24"/>
        </w:rPr>
        <w:t>an academic with expertise in community housing</w:t>
      </w:r>
    </w:p>
    <w:p w:rsidR="00E552FE" w:rsidRPr="001875CA" w:rsidRDefault="00D22407" w:rsidP="008A5BE8">
      <w:pPr>
        <w:pStyle w:val="BodyText"/>
        <w:numPr>
          <w:ilvl w:val="0"/>
          <w:numId w:val="5"/>
        </w:numPr>
        <w:spacing w:after="160" w:line="240" w:lineRule="auto"/>
        <w:ind w:left="567" w:hanging="425"/>
        <w:rPr>
          <w:sz w:val="24"/>
          <w:szCs w:val="24"/>
        </w:rPr>
      </w:pPr>
      <w:r w:rsidRPr="001875CA">
        <w:rPr>
          <w:sz w:val="24"/>
          <w:szCs w:val="24"/>
        </w:rPr>
        <w:t>a financial expert</w:t>
      </w:r>
    </w:p>
    <w:p w:rsidR="005A2043" w:rsidRPr="001875CA" w:rsidRDefault="00E552FE" w:rsidP="008A5BE8">
      <w:pPr>
        <w:pStyle w:val="BodyText"/>
        <w:numPr>
          <w:ilvl w:val="0"/>
          <w:numId w:val="5"/>
        </w:numPr>
        <w:spacing w:after="160" w:line="240" w:lineRule="auto"/>
        <w:ind w:left="567" w:hanging="425"/>
        <w:rPr>
          <w:sz w:val="24"/>
          <w:szCs w:val="24"/>
        </w:rPr>
      </w:pPr>
      <w:r w:rsidRPr="001875CA">
        <w:rPr>
          <w:sz w:val="24"/>
          <w:szCs w:val="24"/>
        </w:rPr>
        <w:lastRenderedPageBreak/>
        <w:t>a representative of the National Housing Finance and Investment Corporation.</w:t>
      </w:r>
    </w:p>
    <w:p w:rsidR="00D5020D" w:rsidRDefault="00D5020D" w:rsidP="00526EF3">
      <w:pPr>
        <w:spacing w:before="160" w:after="160"/>
      </w:pPr>
    </w:p>
    <w:sectPr w:rsidR="00D502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0A" w:rsidRDefault="0008270A">
      <w:pPr>
        <w:spacing w:after="0" w:line="240" w:lineRule="auto"/>
      </w:pPr>
      <w:r>
        <w:separator/>
      </w:r>
    </w:p>
  </w:endnote>
  <w:endnote w:type="continuationSeparator" w:id="0">
    <w:p w:rsidR="0008270A" w:rsidRDefault="0008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9C" w:rsidRDefault="00C05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A6" w:rsidRPr="00601CA6" w:rsidRDefault="00C05F9C" w:rsidP="00601CA6">
    <w:pPr>
      <w:pStyle w:val="Footer"/>
      <w:spacing w:before="160" w:after="160"/>
      <w:rPr>
        <w:b/>
        <w:color w:val="1F497D" w:themeColor="text2"/>
        <w:sz w:val="20"/>
        <w:szCs w:val="20"/>
      </w:rPr>
    </w:pPr>
    <w:sdt>
      <w:sdtPr>
        <w:id w:val="2060592809"/>
        <w:docPartObj>
          <w:docPartGallery w:val="Page Numbers (Bottom of Page)"/>
          <w:docPartUnique/>
        </w:docPartObj>
      </w:sdtPr>
      <w:sdtEndPr>
        <w:rPr>
          <w:noProof/>
        </w:rPr>
      </w:sdtEndPr>
      <w:sdtContent>
        <w:sdt>
          <w:sdtPr>
            <w:rPr>
              <w:b/>
              <w:color w:val="1F497D" w:themeColor="text2"/>
              <w:sz w:val="20"/>
              <w:szCs w:val="20"/>
            </w:rPr>
            <w:id w:val="-1803606326"/>
            <w:docPartObj>
              <w:docPartGallery w:val="Page Numbers (Bottom of Page)"/>
              <w:docPartUnique/>
            </w:docPartObj>
          </w:sdtPr>
          <w:sdtEndPr/>
          <w:sdtContent>
            <w:sdt>
              <w:sdtPr>
                <w:rPr>
                  <w:b/>
                  <w:color w:val="1F497D" w:themeColor="text2"/>
                  <w:sz w:val="20"/>
                  <w:szCs w:val="20"/>
                </w:rPr>
                <w:id w:val="1845434061"/>
                <w:docPartObj>
                  <w:docPartGallery w:val="Page Numbers (Top of Page)"/>
                  <w:docPartUnique/>
                </w:docPartObj>
              </w:sdtPr>
              <w:sdtEndPr/>
              <w:sdtContent>
                <w:r w:rsidR="00601CA6">
                  <w:rPr>
                    <w:color w:val="1F497D" w:themeColor="text2"/>
                    <w:sz w:val="20"/>
                    <w:szCs w:val="20"/>
                  </w:rPr>
                  <w:t>Review of the National Regulatory System for Community Housing</w:t>
                </w:r>
                <w:r w:rsidR="00601CA6">
                  <w:rPr>
                    <w:color w:val="1F497D" w:themeColor="text2"/>
                    <w:sz w:val="20"/>
                    <w:szCs w:val="20"/>
                  </w:rPr>
                  <w:tab/>
                </w:r>
                <w:r w:rsidR="00601CA6" w:rsidRPr="00B17470">
                  <w:rPr>
                    <w:color w:val="1F497D" w:themeColor="text2"/>
                    <w:sz w:val="20"/>
                    <w:szCs w:val="20"/>
                  </w:rPr>
                  <w:t xml:space="preserve">Page </w:t>
                </w:r>
                <w:r w:rsidR="00601CA6" w:rsidRPr="00B17470">
                  <w:rPr>
                    <w:b/>
                    <w:bCs/>
                    <w:color w:val="1F497D" w:themeColor="text2"/>
                    <w:sz w:val="20"/>
                    <w:szCs w:val="20"/>
                  </w:rPr>
                  <w:fldChar w:fldCharType="begin"/>
                </w:r>
                <w:r w:rsidR="00601CA6" w:rsidRPr="00B17470">
                  <w:rPr>
                    <w:bCs/>
                    <w:color w:val="1F497D" w:themeColor="text2"/>
                    <w:sz w:val="20"/>
                    <w:szCs w:val="20"/>
                  </w:rPr>
                  <w:instrText xml:space="preserve"> PAGE </w:instrText>
                </w:r>
                <w:r w:rsidR="00601CA6" w:rsidRPr="00B17470">
                  <w:rPr>
                    <w:b/>
                    <w:bCs/>
                    <w:color w:val="1F497D" w:themeColor="text2"/>
                    <w:sz w:val="20"/>
                    <w:szCs w:val="20"/>
                  </w:rPr>
                  <w:fldChar w:fldCharType="separate"/>
                </w:r>
                <w:r>
                  <w:rPr>
                    <w:bCs/>
                    <w:noProof/>
                    <w:color w:val="1F497D" w:themeColor="text2"/>
                    <w:sz w:val="20"/>
                    <w:szCs w:val="20"/>
                  </w:rPr>
                  <w:t>1</w:t>
                </w:r>
                <w:r w:rsidR="00601CA6" w:rsidRPr="00B17470">
                  <w:rPr>
                    <w:b/>
                    <w:bCs/>
                    <w:color w:val="1F497D" w:themeColor="text2"/>
                    <w:sz w:val="20"/>
                    <w:szCs w:val="20"/>
                  </w:rPr>
                  <w:fldChar w:fldCharType="end"/>
                </w:r>
                <w:r w:rsidR="00601CA6" w:rsidRPr="00B17470">
                  <w:rPr>
                    <w:color w:val="1F497D" w:themeColor="text2"/>
                    <w:sz w:val="20"/>
                    <w:szCs w:val="20"/>
                  </w:rPr>
                  <w:t xml:space="preserve"> of </w:t>
                </w:r>
                <w:r w:rsidR="00601CA6" w:rsidRPr="00B17470">
                  <w:rPr>
                    <w:b/>
                    <w:bCs/>
                    <w:color w:val="1F497D" w:themeColor="text2"/>
                    <w:sz w:val="20"/>
                    <w:szCs w:val="20"/>
                  </w:rPr>
                  <w:fldChar w:fldCharType="begin"/>
                </w:r>
                <w:r w:rsidR="00601CA6" w:rsidRPr="00B17470">
                  <w:rPr>
                    <w:bCs/>
                    <w:color w:val="1F497D" w:themeColor="text2"/>
                    <w:sz w:val="20"/>
                    <w:szCs w:val="20"/>
                  </w:rPr>
                  <w:instrText xml:space="preserve"> NUMPAGES  </w:instrText>
                </w:r>
                <w:r w:rsidR="00601CA6" w:rsidRPr="00B17470">
                  <w:rPr>
                    <w:b/>
                    <w:bCs/>
                    <w:color w:val="1F497D" w:themeColor="text2"/>
                    <w:sz w:val="20"/>
                    <w:szCs w:val="20"/>
                  </w:rPr>
                  <w:fldChar w:fldCharType="separate"/>
                </w:r>
                <w:r>
                  <w:rPr>
                    <w:bCs/>
                    <w:noProof/>
                    <w:color w:val="1F497D" w:themeColor="text2"/>
                    <w:sz w:val="20"/>
                    <w:szCs w:val="20"/>
                  </w:rPr>
                  <w:t>6</w:t>
                </w:r>
                <w:r w:rsidR="00601CA6" w:rsidRPr="00B17470">
                  <w:rPr>
                    <w:b/>
                    <w:bCs/>
                    <w:color w:val="1F497D" w:themeColor="text2"/>
                    <w:sz w:val="20"/>
                    <w:szCs w:val="20"/>
                  </w:rPr>
                  <w:fldChar w:fldCharType="end"/>
                </w:r>
              </w:sdtContent>
            </w:sdt>
          </w:sdtContent>
        </w:sdt>
      </w:sdtContent>
    </w:sdt>
    <w:r w:rsidR="0008270A">
      <w:tab/>
    </w:r>
  </w:p>
  <w:p w:rsidR="0008270A" w:rsidRPr="004E31D2" w:rsidRDefault="0008270A" w:rsidP="00601CA6">
    <w:pPr>
      <w:pStyle w:val="Header"/>
      <w:jc w:val="center"/>
      <w:rPr>
        <w:b/>
        <w:color w:val="FF0000"/>
      </w:rPr>
    </w:pPr>
    <w:r w:rsidRPr="004E31D2">
      <w:rPr>
        <w:b/>
        <w:color w:val="FF0000"/>
      </w:rPr>
      <w:t>For Official Use Only</w:t>
    </w:r>
  </w:p>
  <w:p w:rsidR="0008270A" w:rsidRDefault="0008270A" w:rsidP="00D5020D">
    <w:pPr>
      <w:pStyle w:val="Footer"/>
      <w:tabs>
        <w:tab w:val="clear" w:pos="4513"/>
        <w:tab w:val="clear" w:pos="9026"/>
        <w:tab w:val="left" w:pos="364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9C" w:rsidRDefault="00C0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0A" w:rsidRDefault="0008270A">
      <w:pPr>
        <w:spacing w:after="0" w:line="240" w:lineRule="auto"/>
      </w:pPr>
      <w:r>
        <w:separator/>
      </w:r>
    </w:p>
  </w:footnote>
  <w:footnote w:type="continuationSeparator" w:id="0">
    <w:p w:rsidR="0008270A" w:rsidRDefault="0008270A">
      <w:pPr>
        <w:spacing w:after="0" w:line="240" w:lineRule="auto"/>
      </w:pPr>
      <w:r>
        <w:continuationSeparator/>
      </w:r>
    </w:p>
  </w:footnote>
  <w:footnote w:id="1">
    <w:p w:rsidR="003C6909" w:rsidRPr="003C6909" w:rsidRDefault="003C6909">
      <w:pPr>
        <w:pStyle w:val="FootnoteText"/>
        <w:rPr>
          <w:lang w:val="en-US"/>
        </w:rPr>
      </w:pPr>
      <w:r>
        <w:rPr>
          <w:rStyle w:val="FootnoteReference"/>
        </w:rPr>
        <w:footnoteRef/>
      </w:r>
      <w:r>
        <w:t xml:space="preserve"> </w:t>
      </w:r>
      <w:r w:rsidRPr="003C6909">
        <w:t xml:space="preserve">Queensland amended its </w:t>
      </w:r>
      <w:r w:rsidRPr="003C6909">
        <w:rPr>
          <w:i/>
        </w:rPr>
        <w:t>Housing Act 2003</w:t>
      </w:r>
      <w:r w:rsidRPr="003C6909">
        <w:t xml:space="preserve"> to include details from the National Law for community housing providers (see Part 4A of this Act).</w:t>
      </w:r>
    </w:p>
  </w:footnote>
  <w:footnote w:id="2">
    <w:p w:rsidR="006623DF" w:rsidRPr="004D5AD8" w:rsidRDefault="006623DF">
      <w:pPr>
        <w:pStyle w:val="FootnoteText"/>
        <w:rPr>
          <w:lang w:val="en-US"/>
        </w:rPr>
      </w:pPr>
      <w:r>
        <w:rPr>
          <w:rStyle w:val="FootnoteReference"/>
        </w:rPr>
        <w:footnoteRef/>
      </w:r>
      <w:r>
        <w:t xml:space="preserve"> </w:t>
      </w:r>
      <w:r>
        <w:rPr>
          <w:lang w:val="en-US"/>
        </w:rPr>
        <w:t xml:space="preserve">Signed </w:t>
      </w:r>
      <w:r w:rsidRPr="006623DF">
        <w:rPr>
          <w:lang w:val="en-US"/>
        </w:rPr>
        <w:t>2 August 2012</w:t>
      </w:r>
      <w:r w:rsidR="00953A4D">
        <w:rPr>
          <w:lang w:val="en-US"/>
        </w:rPr>
        <w:t>.</w:t>
      </w:r>
    </w:p>
  </w:footnote>
  <w:footnote w:id="3">
    <w:p w:rsidR="007376C7" w:rsidRPr="008A5BE8" w:rsidRDefault="007376C7">
      <w:pPr>
        <w:pStyle w:val="FootnoteText"/>
        <w:rPr>
          <w:lang w:val="en-US"/>
        </w:rPr>
      </w:pPr>
      <w:r>
        <w:rPr>
          <w:rStyle w:val="FootnoteReference"/>
        </w:rPr>
        <w:footnoteRef/>
      </w:r>
      <w:r>
        <w:t xml:space="preserve"> </w:t>
      </w:r>
      <w:r w:rsidRPr="003C7A67">
        <w:rPr>
          <w:sz w:val="16"/>
          <w:szCs w:val="16"/>
          <w:lang w:val="en-US"/>
        </w:rPr>
        <w:t xml:space="preserve">On 8 February 2018, the Commonwealth Deputy Secretary for social housing </w:t>
      </w:r>
      <w:r>
        <w:rPr>
          <w:sz w:val="16"/>
          <w:szCs w:val="16"/>
          <w:lang w:val="en-US"/>
        </w:rPr>
        <w:t xml:space="preserve">policy </w:t>
      </w:r>
      <w:r w:rsidRPr="003C7A67">
        <w:rPr>
          <w:sz w:val="16"/>
          <w:szCs w:val="16"/>
          <w:lang w:val="en-US"/>
        </w:rPr>
        <w:t xml:space="preserve">wrote to FACS advising that the copyright for the </w:t>
      </w:r>
      <w:r w:rsidRPr="003C7A67">
        <w:rPr>
          <w:i/>
          <w:sz w:val="16"/>
          <w:szCs w:val="16"/>
          <w:lang w:val="en-US"/>
        </w:rPr>
        <w:t>National Community Housing Standards Manual, 3</w:t>
      </w:r>
      <w:r w:rsidRPr="003C7A67">
        <w:rPr>
          <w:i/>
          <w:sz w:val="16"/>
          <w:szCs w:val="16"/>
          <w:vertAlign w:val="superscript"/>
          <w:lang w:val="en-US"/>
        </w:rPr>
        <w:t>rd</w:t>
      </w:r>
      <w:r w:rsidRPr="003C7A67">
        <w:rPr>
          <w:i/>
          <w:sz w:val="16"/>
          <w:szCs w:val="16"/>
          <w:lang w:val="en-US"/>
        </w:rPr>
        <w:t xml:space="preserve"> Edition, May 2010 </w:t>
      </w:r>
      <w:r w:rsidRPr="003C7A67">
        <w:rPr>
          <w:sz w:val="16"/>
          <w:szCs w:val="16"/>
          <w:lang w:val="en-US"/>
        </w:rPr>
        <w:t xml:space="preserve">had been transferred </w:t>
      </w:r>
      <w:r>
        <w:rPr>
          <w:sz w:val="16"/>
          <w:szCs w:val="16"/>
          <w:lang w:val="en-US"/>
        </w:rPr>
        <w:t xml:space="preserve">from the Commonwealth </w:t>
      </w:r>
      <w:r w:rsidRPr="003C7A67">
        <w:rPr>
          <w:sz w:val="16"/>
          <w:szCs w:val="16"/>
          <w:lang w:val="en-US"/>
        </w:rPr>
        <w:t>to the Community Housing Industry Association</w:t>
      </w:r>
      <w:r>
        <w:rPr>
          <w:sz w:val="16"/>
          <w:szCs w:val="16"/>
          <w:lang w:val="en-US"/>
        </w:rPr>
        <w:t xml:space="preserve"> (CHIA)</w:t>
      </w:r>
    </w:p>
  </w:footnote>
  <w:footnote w:id="4">
    <w:p w:rsidR="007376C7" w:rsidRPr="008A5BE8" w:rsidRDefault="007376C7">
      <w:pPr>
        <w:pStyle w:val="FootnoteText"/>
        <w:rPr>
          <w:sz w:val="16"/>
          <w:szCs w:val="16"/>
          <w:lang w:val="en-US"/>
        </w:rPr>
      </w:pPr>
      <w:r>
        <w:rPr>
          <w:rStyle w:val="FootnoteReference"/>
        </w:rPr>
        <w:footnoteRef/>
      </w:r>
      <w:r>
        <w:t xml:space="preserve"> </w:t>
      </w:r>
      <w:r w:rsidRPr="008A5BE8">
        <w:rPr>
          <w:sz w:val="16"/>
          <w:szCs w:val="16"/>
        </w:rPr>
        <w:t xml:space="preserve">State elections will impact on </w:t>
      </w:r>
      <w:r w:rsidR="00E833C0" w:rsidRPr="008A5BE8">
        <w:rPr>
          <w:sz w:val="16"/>
          <w:szCs w:val="16"/>
        </w:rPr>
        <w:t xml:space="preserve">deadlines for deliverables. </w:t>
      </w:r>
      <w:r w:rsidRPr="008A5BE8">
        <w:rPr>
          <w:sz w:val="16"/>
          <w:szCs w:val="16"/>
          <w:lang w:val="en-US"/>
        </w:rPr>
        <w:t>Victoria will be care taker mode from October-November 2018 and NSW is expected to be in care taker mode from December 2018 – March 2019.</w:t>
      </w:r>
    </w:p>
  </w:footnote>
  <w:footnote w:id="5">
    <w:p w:rsidR="00E833C0" w:rsidRPr="008A5BE8" w:rsidRDefault="00E833C0">
      <w:pPr>
        <w:pStyle w:val="FootnoteText"/>
        <w:rPr>
          <w:lang w:val="en-US"/>
        </w:rPr>
      </w:pPr>
      <w:r>
        <w:rPr>
          <w:rStyle w:val="FootnoteReference"/>
        </w:rPr>
        <w:footnoteRef/>
      </w:r>
      <w:r>
        <w:t xml:space="preserve"> </w:t>
      </w:r>
      <w:r w:rsidRPr="008A5BE8">
        <w:rPr>
          <w:sz w:val="16"/>
          <w:szCs w:val="16"/>
          <w:lang w:val="en-US"/>
        </w:rPr>
        <w:t xml:space="preserve">A Federal election is scheduled for 2019, but could be held any time between August 2018 and November 2019. Depending on when </w:t>
      </w:r>
      <w:r>
        <w:rPr>
          <w:sz w:val="16"/>
          <w:szCs w:val="16"/>
          <w:lang w:val="en-US"/>
        </w:rPr>
        <w:t>the Federal election</w:t>
      </w:r>
      <w:r w:rsidRPr="008A5BE8">
        <w:rPr>
          <w:sz w:val="16"/>
          <w:szCs w:val="16"/>
          <w:lang w:val="en-US"/>
        </w:rPr>
        <w:t xml:space="preserve"> is held this could impact on the deadline for deliverables</w:t>
      </w:r>
      <w:r>
        <w:rPr>
          <w:lang w:val="en-US"/>
        </w:rPr>
        <w:t>.</w:t>
      </w:r>
    </w:p>
  </w:footnote>
  <w:footnote w:id="6">
    <w:p w:rsidR="00E552FE" w:rsidRPr="008A5BE8" w:rsidRDefault="00E552FE" w:rsidP="00E552FE">
      <w:pPr>
        <w:pStyle w:val="FootnoteText"/>
        <w:rPr>
          <w:sz w:val="16"/>
          <w:szCs w:val="16"/>
          <w:lang w:val="en-US"/>
        </w:rPr>
      </w:pPr>
      <w:r>
        <w:rPr>
          <w:rStyle w:val="FootnoteReference"/>
        </w:rPr>
        <w:footnoteRef/>
      </w:r>
      <w:r>
        <w:t xml:space="preserve"> </w:t>
      </w:r>
      <w:r w:rsidRPr="003C7A67">
        <w:rPr>
          <w:sz w:val="16"/>
          <w:szCs w:val="16"/>
        </w:rPr>
        <w:t>Staff from Commonwealth Treasury will be required for specialist work associated with the</w:t>
      </w:r>
      <w:r>
        <w:rPr>
          <w:sz w:val="16"/>
          <w:szCs w:val="16"/>
        </w:rPr>
        <w:t xml:space="preserve"> National Housing Finance and Investment Corporation and the affordable housing</w:t>
      </w:r>
      <w:r w:rsidRPr="003C7A67">
        <w:rPr>
          <w:sz w:val="16"/>
          <w:szCs w:val="16"/>
        </w:rPr>
        <w:t xml:space="preserve"> bond aggregator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9C" w:rsidRDefault="00C05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0A" w:rsidRPr="004E31D2" w:rsidRDefault="0008270A" w:rsidP="00D5020D">
    <w:pPr>
      <w:pStyle w:val="Header"/>
      <w:jc w:val="center"/>
      <w:rPr>
        <w:b/>
        <w:color w:val="FF0000"/>
      </w:rPr>
    </w:pPr>
    <w:r w:rsidRPr="004E31D2">
      <w:rPr>
        <w:b/>
        <w:color w:val="FF0000"/>
      </w:rPr>
      <w:t xml:space="preserve">For </w:t>
    </w:r>
    <w:bookmarkStart w:id="0" w:name="_GoBack"/>
    <w:r w:rsidRPr="004E31D2">
      <w:rPr>
        <w:b/>
        <w:color w:val="FF0000"/>
      </w:rPr>
      <w:t xml:space="preserve">Official </w:t>
    </w:r>
    <w:bookmarkEnd w:id="0"/>
    <w:r w:rsidRPr="004E31D2">
      <w:rPr>
        <w:b/>
        <w:color w:val="FF0000"/>
      </w:rPr>
      <w:t>Use Only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9C" w:rsidRDefault="00C0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6E8B"/>
    <w:multiLevelType w:val="hybridMultilevel"/>
    <w:tmpl w:val="178CA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675119"/>
    <w:multiLevelType w:val="hybridMultilevel"/>
    <w:tmpl w:val="12F21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A31C95"/>
    <w:multiLevelType w:val="hybridMultilevel"/>
    <w:tmpl w:val="63F294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466A33"/>
    <w:multiLevelType w:val="multilevel"/>
    <w:tmpl w:val="30AED1F2"/>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7CCA2670"/>
    <w:multiLevelType w:val="hybridMultilevel"/>
    <w:tmpl w:val="84D2E9FC"/>
    <w:lvl w:ilvl="0" w:tplc="0C090001">
      <w:start w:val="1"/>
      <w:numFmt w:val="bullet"/>
      <w:lvlText w:val=""/>
      <w:lvlJc w:val="left"/>
      <w:pPr>
        <w:ind w:left="1105" w:hanging="720"/>
      </w:pPr>
      <w:rPr>
        <w:rFonts w:ascii="Symbol" w:hAnsi="Symbol" w:hint="default"/>
      </w:rPr>
    </w:lvl>
    <w:lvl w:ilvl="1" w:tplc="BDAAC3A6">
      <w:numFmt w:val="bullet"/>
      <w:lvlText w:val=""/>
      <w:lvlJc w:val="left"/>
      <w:pPr>
        <w:ind w:left="1825" w:hanging="720"/>
      </w:pPr>
      <w:rPr>
        <w:rFonts w:ascii="Symbol" w:eastAsia="Times New Roman" w:hAnsi="Symbol" w:cs="Arial"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43"/>
    <w:rsid w:val="00017996"/>
    <w:rsid w:val="00042513"/>
    <w:rsid w:val="00063AA3"/>
    <w:rsid w:val="00073714"/>
    <w:rsid w:val="0008270A"/>
    <w:rsid w:val="0008725F"/>
    <w:rsid w:val="000A3D1A"/>
    <w:rsid w:val="000B20CF"/>
    <w:rsid w:val="00115A2E"/>
    <w:rsid w:val="00117A73"/>
    <w:rsid w:val="0014520A"/>
    <w:rsid w:val="00147E63"/>
    <w:rsid w:val="00157BFD"/>
    <w:rsid w:val="001875CA"/>
    <w:rsid w:val="001B7AE3"/>
    <w:rsid w:val="001C237F"/>
    <w:rsid w:val="00234DC8"/>
    <w:rsid w:val="00294406"/>
    <w:rsid w:val="0029752F"/>
    <w:rsid w:val="002B3979"/>
    <w:rsid w:val="002E7AB4"/>
    <w:rsid w:val="0031467B"/>
    <w:rsid w:val="00333688"/>
    <w:rsid w:val="003C6909"/>
    <w:rsid w:val="003C7563"/>
    <w:rsid w:val="00404423"/>
    <w:rsid w:val="004102B0"/>
    <w:rsid w:val="00437FD2"/>
    <w:rsid w:val="00463429"/>
    <w:rsid w:val="004D00D0"/>
    <w:rsid w:val="004D5AD8"/>
    <w:rsid w:val="004F7B0D"/>
    <w:rsid w:val="00526EF3"/>
    <w:rsid w:val="00573B8C"/>
    <w:rsid w:val="00587A1B"/>
    <w:rsid w:val="005A2043"/>
    <w:rsid w:val="005D60C8"/>
    <w:rsid w:val="00601CA6"/>
    <w:rsid w:val="006443A5"/>
    <w:rsid w:val="006623DF"/>
    <w:rsid w:val="00665EB6"/>
    <w:rsid w:val="00715D44"/>
    <w:rsid w:val="007376C7"/>
    <w:rsid w:val="00756B3E"/>
    <w:rsid w:val="007A2B75"/>
    <w:rsid w:val="00812FCE"/>
    <w:rsid w:val="00823F0A"/>
    <w:rsid w:val="00826466"/>
    <w:rsid w:val="00856E3E"/>
    <w:rsid w:val="00877C6B"/>
    <w:rsid w:val="008A21D8"/>
    <w:rsid w:val="008A5BE8"/>
    <w:rsid w:val="009109B8"/>
    <w:rsid w:val="00953A4D"/>
    <w:rsid w:val="0097432D"/>
    <w:rsid w:val="009946E0"/>
    <w:rsid w:val="009C1D83"/>
    <w:rsid w:val="009C51B9"/>
    <w:rsid w:val="00A21124"/>
    <w:rsid w:val="00A7439B"/>
    <w:rsid w:val="00A766FF"/>
    <w:rsid w:val="00A925FC"/>
    <w:rsid w:val="00A9500B"/>
    <w:rsid w:val="00AC436D"/>
    <w:rsid w:val="00AC6A00"/>
    <w:rsid w:val="00AF76D3"/>
    <w:rsid w:val="00B75B71"/>
    <w:rsid w:val="00BB7367"/>
    <w:rsid w:val="00C05F9C"/>
    <w:rsid w:val="00C16683"/>
    <w:rsid w:val="00C312F0"/>
    <w:rsid w:val="00C711B7"/>
    <w:rsid w:val="00C84E0D"/>
    <w:rsid w:val="00CA4839"/>
    <w:rsid w:val="00CB0EE9"/>
    <w:rsid w:val="00CE2775"/>
    <w:rsid w:val="00CE46A9"/>
    <w:rsid w:val="00D22407"/>
    <w:rsid w:val="00D413F1"/>
    <w:rsid w:val="00D5020D"/>
    <w:rsid w:val="00D63500"/>
    <w:rsid w:val="00D8745D"/>
    <w:rsid w:val="00DA0BF4"/>
    <w:rsid w:val="00DA6824"/>
    <w:rsid w:val="00DB1888"/>
    <w:rsid w:val="00DB43B8"/>
    <w:rsid w:val="00DD092E"/>
    <w:rsid w:val="00DE45B9"/>
    <w:rsid w:val="00E279FF"/>
    <w:rsid w:val="00E50C4B"/>
    <w:rsid w:val="00E54518"/>
    <w:rsid w:val="00E552FE"/>
    <w:rsid w:val="00E66E6C"/>
    <w:rsid w:val="00E7245F"/>
    <w:rsid w:val="00E833C0"/>
    <w:rsid w:val="00E90547"/>
    <w:rsid w:val="00E94EC8"/>
    <w:rsid w:val="00EC2629"/>
    <w:rsid w:val="00F3215C"/>
    <w:rsid w:val="00F92CC0"/>
    <w:rsid w:val="00FD49E7"/>
    <w:rsid w:val="00FE5585"/>
    <w:rsid w:val="00FE73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BE8895CE-256D-416A-8D91-0301BE69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43"/>
    <w:rPr>
      <w:rFonts w:ascii="Arial" w:hAnsi="Arial"/>
    </w:rPr>
  </w:style>
  <w:style w:type="paragraph" w:styleId="Heading1">
    <w:name w:val="heading 1"/>
    <w:basedOn w:val="Normal"/>
    <w:next w:val="Normal"/>
    <w:link w:val="Heading1Char"/>
    <w:qFormat/>
    <w:rsid w:val="005A2043"/>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5A2043"/>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qFormat/>
    <w:rsid w:val="00294406"/>
    <w:pPr>
      <w:keepNext/>
      <w:spacing w:before="240" w:after="60" w:line="240" w:lineRule="auto"/>
      <w:outlineLvl w:val="2"/>
    </w:pPr>
    <w:rPr>
      <w:rFonts w:eastAsia="Times New Roman" w:cs="Arial"/>
      <w:bCs/>
      <w:color w:val="002664"/>
      <w:sz w:val="28"/>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04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A2043"/>
    <w:rPr>
      <w:rFonts w:ascii="Arial" w:eastAsiaTheme="majorEastAsia" w:hAnsi="Arial" w:cstheme="majorBidi"/>
      <w:b/>
      <w:bCs/>
      <w:sz w:val="26"/>
      <w:szCs w:val="26"/>
    </w:rPr>
  </w:style>
  <w:style w:type="paragraph" w:styleId="ListParagraph">
    <w:name w:val="List Paragraph"/>
    <w:basedOn w:val="Normal"/>
    <w:uiPriority w:val="34"/>
    <w:qFormat/>
    <w:rsid w:val="005A2043"/>
    <w:pPr>
      <w:ind w:left="720"/>
      <w:contextualSpacing/>
    </w:pPr>
  </w:style>
  <w:style w:type="character" w:styleId="BookTitle">
    <w:name w:val="Book Title"/>
    <w:uiPriority w:val="33"/>
    <w:qFormat/>
    <w:rsid w:val="005A2043"/>
    <w:rPr>
      <w:i/>
      <w:iCs/>
      <w:smallCaps/>
      <w:spacing w:val="5"/>
    </w:rPr>
  </w:style>
  <w:style w:type="character" w:styleId="CommentReference">
    <w:name w:val="annotation reference"/>
    <w:basedOn w:val="DefaultParagraphFont"/>
    <w:uiPriority w:val="99"/>
    <w:semiHidden/>
    <w:unhideWhenUsed/>
    <w:rsid w:val="005A2043"/>
    <w:rPr>
      <w:sz w:val="16"/>
      <w:szCs w:val="16"/>
    </w:rPr>
  </w:style>
  <w:style w:type="paragraph" w:styleId="CommentText">
    <w:name w:val="annotation text"/>
    <w:basedOn w:val="Normal"/>
    <w:link w:val="CommentTextChar"/>
    <w:uiPriority w:val="99"/>
    <w:semiHidden/>
    <w:unhideWhenUsed/>
    <w:rsid w:val="005A2043"/>
    <w:pPr>
      <w:spacing w:line="240" w:lineRule="auto"/>
    </w:pPr>
    <w:rPr>
      <w:sz w:val="20"/>
      <w:szCs w:val="20"/>
    </w:rPr>
  </w:style>
  <w:style w:type="character" w:customStyle="1" w:styleId="CommentTextChar">
    <w:name w:val="Comment Text Char"/>
    <w:basedOn w:val="DefaultParagraphFont"/>
    <w:link w:val="CommentText"/>
    <w:uiPriority w:val="99"/>
    <w:semiHidden/>
    <w:rsid w:val="005A2043"/>
    <w:rPr>
      <w:rFonts w:ascii="Arial" w:hAnsi="Arial"/>
      <w:sz w:val="20"/>
      <w:szCs w:val="20"/>
    </w:rPr>
  </w:style>
  <w:style w:type="paragraph" w:styleId="Header">
    <w:name w:val="header"/>
    <w:basedOn w:val="Normal"/>
    <w:link w:val="HeaderChar"/>
    <w:uiPriority w:val="99"/>
    <w:unhideWhenUsed/>
    <w:rsid w:val="005A2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043"/>
    <w:rPr>
      <w:rFonts w:ascii="Arial" w:hAnsi="Arial"/>
    </w:rPr>
  </w:style>
  <w:style w:type="paragraph" w:styleId="Footer">
    <w:name w:val="footer"/>
    <w:basedOn w:val="Normal"/>
    <w:link w:val="FooterChar"/>
    <w:uiPriority w:val="99"/>
    <w:unhideWhenUsed/>
    <w:rsid w:val="005A2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043"/>
    <w:rPr>
      <w:rFonts w:ascii="Arial" w:hAnsi="Arial"/>
    </w:rPr>
  </w:style>
  <w:style w:type="paragraph" w:styleId="BalloonText">
    <w:name w:val="Balloon Text"/>
    <w:basedOn w:val="Normal"/>
    <w:link w:val="BalloonTextChar"/>
    <w:uiPriority w:val="99"/>
    <w:semiHidden/>
    <w:unhideWhenUsed/>
    <w:rsid w:val="005A2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4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7563"/>
    <w:rPr>
      <w:b/>
      <w:bCs/>
    </w:rPr>
  </w:style>
  <w:style w:type="character" w:customStyle="1" w:styleId="CommentSubjectChar">
    <w:name w:val="Comment Subject Char"/>
    <w:basedOn w:val="CommentTextChar"/>
    <w:link w:val="CommentSubject"/>
    <w:uiPriority w:val="99"/>
    <w:semiHidden/>
    <w:rsid w:val="003C7563"/>
    <w:rPr>
      <w:rFonts w:ascii="Arial" w:hAnsi="Arial"/>
      <w:b/>
      <w:bCs/>
      <w:sz w:val="20"/>
      <w:szCs w:val="20"/>
    </w:rPr>
  </w:style>
  <w:style w:type="paragraph" w:styleId="Revision">
    <w:name w:val="Revision"/>
    <w:hidden/>
    <w:uiPriority w:val="99"/>
    <w:semiHidden/>
    <w:rsid w:val="00A925FC"/>
    <w:pPr>
      <w:spacing w:after="0" w:line="240" w:lineRule="auto"/>
    </w:pPr>
    <w:rPr>
      <w:rFonts w:ascii="Arial" w:hAnsi="Arial"/>
    </w:rPr>
  </w:style>
  <w:style w:type="character" w:customStyle="1" w:styleId="Heading3Char">
    <w:name w:val="Heading 3 Char"/>
    <w:basedOn w:val="DefaultParagraphFont"/>
    <w:link w:val="Heading3"/>
    <w:rsid w:val="00294406"/>
    <w:rPr>
      <w:rFonts w:ascii="Arial" w:eastAsia="Times New Roman" w:hAnsi="Arial" w:cs="Arial"/>
      <w:bCs/>
      <w:color w:val="002664"/>
      <w:sz w:val="28"/>
      <w:szCs w:val="26"/>
      <w:lang w:eastAsia="en-AU"/>
    </w:rPr>
  </w:style>
  <w:style w:type="paragraph" w:styleId="FootnoteText">
    <w:name w:val="footnote text"/>
    <w:basedOn w:val="Normal"/>
    <w:link w:val="FootnoteTextChar"/>
    <w:uiPriority w:val="99"/>
    <w:rsid w:val="003C6909"/>
    <w:pPr>
      <w:spacing w:after="0" w:line="240" w:lineRule="auto"/>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3C6909"/>
    <w:rPr>
      <w:rFonts w:ascii="Arial" w:eastAsia="Times New Roman" w:hAnsi="Arial" w:cs="Times New Roman"/>
      <w:sz w:val="20"/>
      <w:szCs w:val="20"/>
      <w:lang w:eastAsia="en-AU"/>
    </w:rPr>
  </w:style>
  <w:style w:type="character" w:styleId="FootnoteReference">
    <w:name w:val="footnote reference"/>
    <w:basedOn w:val="DefaultParagraphFont"/>
    <w:uiPriority w:val="99"/>
    <w:rsid w:val="003C6909"/>
    <w:rPr>
      <w:vertAlign w:val="superscript"/>
    </w:rPr>
  </w:style>
  <w:style w:type="paragraph" w:styleId="BodyText">
    <w:name w:val="Body Text"/>
    <w:basedOn w:val="Normal"/>
    <w:link w:val="BodyTextChar"/>
    <w:rsid w:val="00E90547"/>
    <w:pPr>
      <w:spacing w:before="160" w:after="0" w:line="260" w:lineRule="atLeast"/>
    </w:pPr>
    <w:rPr>
      <w:rFonts w:eastAsia="Times New Roman" w:cs="Arial"/>
    </w:rPr>
  </w:style>
  <w:style w:type="character" w:customStyle="1" w:styleId="BodyTextChar">
    <w:name w:val="Body Text Char"/>
    <w:basedOn w:val="DefaultParagraphFont"/>
    <w:link w:val="BodyText"/>
    <w:rsid w:val="00E9054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578F-3AB7-48C1-AA9A-E8FE4321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71D8BBBD</Template>
  <TotalTime>0</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NRSCH</dc:title>
  <dc:creator>Nefley Hetherington</dc:creator>
  <cp:lastModifiedBy>Corporate Services</cp:lastModifiedBy>
  <cp:revision>2</cp:revision>
  <cp:lastPrinted>2018-10-17T23:12:00Z</cp:lastPrinted>
  <dcterms:created xsi:type="dcterms:W3CDTF">2018-12-12T02:45:00Z</dcterms:created>
  <dcterms:modified xsi:type="dcterms:W3CDTF">2018-12-12T02:45:00Z</dcterms:modified>
</cp:coreProperties>
</file>