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329F" w14:textId="77777777" w:rsidR="00F45BEA" w:rsidRPr="00C66ACB" w:rsidRDefault="00A74BE5" w:rsidP="00F45BEA">
      <w:pPr>
        <w:rPr>
          <w:color w:val="008000"/>
          <w:sz w:val="32"/>
        </w:rPr>
      </w:pPr>
      <w:r w:rsidRPr="00C66ACB">
        <w:rPr>
          <w:b/>
          <w:color w:val="008000"/>
          <w:sz w:val="32"/>
        </w:rPr>
        <w:t xml:space="preserve">Far West Region </w:t>
      </w:r>
      <w:r w:rsidR="00F45BEA" w:rsidRPr="00C66ACB">
        <w:rPr>
          <w:b/>
          <w:color w:val="008000"/>
          <w:sz w:val="32"/>
        </w:rPr>
        <w:t>– What’s Happening with Housing Supply and</w:t>
      </w:r>
      <w:r w:rsidR="008A514F" w:rsidRPr="00C66ACB">
        <w:rPr>
          <w:b/>
          <w:color w:val="008000"/>
          <w:sz w:val="32"/>
        </w:rPr>
        <w:t xml:space="preserve"> does it match Demand</w:t>
      </w:r>
      <w:r w:rsidR="00F45BEA" w:rsidRPr="00C66ACB">
        <w:rPr>
          <w:b/>
          <w:color w:val="008000"/>
          <w:sz w:val="32"/>
        </w:rPr>
        <w:t>?</w:t>
      </w:r>
    </w:p>
    <w:p w14:paraId="4B63CCE3" w14:textId="77777777" w:rsidR="00C66ACB" w:rsidRDefault="00C66ACB" w:rsidP="00C66ACB">
      <w:pPr>
        <w:rPr>
          <w:sz w:val="22"/>
          <w:szCs w:val="22"/>
        </w:rPr>
      </w:pPr>
      <w:r>
        <w:rPr>
          <w:sz w:val="22"/>
          <w:szCs w:val="22"/>
        </w:rPr>
        <w:t xml:space="preserve">This Housing Snapshot looks at aspects of housing supply in the </w:t>
      </w:r>
      <w:r w:rsidR="00A20E9D">
        <w:rPr>
          <w:sz w:val="22"/>
          <w:szCs w:val="22"/>
        </w:rPr>
        <w:t>Far West</w:t>
      </w:r>
      <w:r>
        <w:rPr>
          <w:sz w:val="22"/>
          <w:szCs w:val="22"/>
        </w:rPr>
        <w:t>,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4EB7F31C" w14:textId="77777777" w:rsidR="00C66ACB" w:rsidRDefault="00C66ACB" w:rsidP="00C66ACB">
      <w:pPr>
        <w:rPr>
          <w:sz w:val="22"/>
          <w:szCs w:val="22"/>
        </w:rPr>
      </w:pPr>
      <w:r>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w:t>
      </w:r>
    </w:p>
    <w:p w14:paraId="01F6606D" w14:textId="77777777" w:rsidR="00654300" w:rsidRPr="00C66ACB" w:rsidRDefault="00863D28" w:rsidP="00F45BEA">
      <w:pPr>
        <w:rPr>
          <w:b/>
          <w:color w:val="008000"/>
          <w:sz w:val="32"/>
        </w:rPr>
      </w:pPr>
      <w:r w:rsidRPr="00C66ACB">
        <w:rPr>
          <w:sz w:val="22"/>
          <w:szCs w:val="22"/>
        </w:rPr>
        <w:t xml:space="preserve">The majority of households in the </w:t>
      </w:r>
      <w:r w:rsidR="001E1E28" w:rsidRPr="00C66ACB">
        <w:rPr>
          <w:sz w:val="22"/>
          <w:szCs w:val="22"/>
        </w:rPr>
        <w:t xml:space="preserve">Far West Region </w:t>
      </w:r>
      <w:r w:rsidRPr="00C66ACB">
        <w:rPr>
          <w:sz w:val="22"/>
          <w:szCs w:val="22"/>
        </w:rPr>
        <w:t>are lone person or couple households</w:t>
      </w:r>
      <w:r w:rsidR="006B3495" w:rsidRPr="00C66ACB">
        <w:rPr>
          <w:sz w:val="22"/>
          <w:szCs w:val="22"/>
        </w:rPr>
        <w:t xml:space="preserve"> </w:t>
      </w:r>
      <w:r w:rsidR="006B3495" w:rsidRPr="000C47B7">
        <w:rPr>
          <w:sz w:val="22"/>
          <w:szCs w:val="22"/>
        </w:rPr>
        <w:t>(comprising 51.</w:t>
      </w:r>
      <w:r w:rsidR="000C47B7" w:rsidRPr="000C47B7">
        <w:rPr>
          <w:sz w:val="22"/>
          <w:szCs w:val="22"/>
        </w:rPr>
        <w:t>4</w:t>
      </w:r>
      <w:r w:rsidR="006B3495" w:rsidRPr="000C47B7">
        <w:rPr>
          <w:sz w:val="22"/>
          <w:szCs w:val="22"/>
        </w:rPr>
        <w:t>% of all households)</w:t>
      </w:r>
      <w:r w:rsidRPr="000C47B7">
        <w:rPr>
          <w:sz w:val="22"/>
          <w:szCs w:val="22"/>
        </w:rPr>
        <w:t>, yet</w:t>
      </w:r>
      <w:r w:rsidRPr="00C66ACB">
        <w:rPr>
          <w:sz w:val="22"/>
          <w:szCs w:val="22"/>
        </w:rPr>
        <w:t xml:space="preserve"> the housing stock is overwhelmingly detached homes with three or four bedrooms.  This housing was built at a time when families were the predominant household type.  Generally the region has insufficient diversity in housing type or bedroom mix</w:t>
      </w:r>
      <w:r w:rsidR="006B3495" w:rsidRPr="00C66ACB">
        <w:rPr>
          <w:sz w:val="22"/>
          <w:szCs w:val="22"/>
        </w:rPr>
        <w:t xml:space="preserve"> and the consequently there is little housing choice for households requiring smaller homes</w:t>
      </w:r>
      <w:r w:rsidRPr="00C66ACB">
        <w:rPr>
          <w:sz w:val="22"/>
          <w:szCs w:val="22"/>
        </w:rPr>
        <w:t xml:space="preserve">.  </w:t>
      </w:r>
    </w:p>
    <w:p w14:paraId="63DDF49C" w14:textId="77777777" w:rsidR="00373DD8" w:rsidRPr="0043133D" w:rsidRDefault="00373DD8" w:rsidP="00F45BEA">
      <w:pPr>
        <w:rPr>
          <w:b/>
          <w:color w:val="008000"/>
          <w:sz w:val="32"/>
          <w:highlight w:val="yellow"/>
        </w:rPr>
      </w:pPr>
    </w:p>
    <w:p w14:paraId="54FDFBA9" w14:textId="77777777" w:rsidR="00F60312" w:rsidRPr="009B0F74" w:rsidRDefault="00F60312" w:rsidP="00F60312">
      <w:pPr>
        <w:rPr>
          <w:b/>
          <w:color w:val="008000"/>
          <w:sz w:val="32"/>
        </w:rPr>
      </w:pPr>
      <w:r w:rsidRPr="009B0F74">
        <w:rPr>
          <w:b/>
          <w:color w:val="008000"/>
          <w:sz w:val="32"/>
        </w:rPr>
        <w:t>Dwelling Type</w:t>
      </w:r>
    </w:p>
    <w:p w14:paraId="2EAC5DF5" w14:textId="77777777" w:rsidR="009B0F74" w:rsidRDefault="009B0F74" w:rsidP="009B0F74">
      <w:pPr>
        <w:pStyle w:val="ListParagraph"/>
        <w:numPr>
          <w:ilvl w:val="0"/>
          <w:numId w:val="32"/>
        </w:numPr>
        <w:rPr>
          <w:sz w:val="22"/>
          <w:szCs w:val="22"/>
        </w:rPr>
      </w:pPr>
      <w:r>
        <w:rPr>
          <w:sz w:val="22"/>
          <w:szCs w:val="22"/>
        </w:rPr>
        <w:t>At the 2021 Census there were 19,728 dwellings in the Far West region, down from 21,351 in 2016.</w:t>
      </w:r>
    </w:p>
    <w:p w14:paraId="259D587F" w14:textId="77777777" w:rsidR="009B0F74" w:rsidRDefault="009B0F74" w:rsidP="009B0F74">
      <w:pPr>
        <w:pStyle w:val="ListParagraph"/>
        <w:numPr>
          <w:ilvl w:val="0"/>
          <w:numId w:val="32"/>
        </w:numPr>
        <w:rPr>
          <w:sz w:val="22"/>
          <w:szCs w:val="22"/>
        </w:rPr>
      </w:pPr>
      <w:r>
        <w:rPr>
          <w:sz w:val="22"/>
          <w:szCs w:val="22"/>
        </w:rPr>
        <w:t>Of these, 80.3% were occupied (up from 78.0% in 2016), well under the 89.0% average percentage occupied in the Rest of NSW.</w:t>
      </w:r>
    </w:p>
    <w:p w14:paraId="2058C779" w14:textId="77777777" w:rsidR="009B0F74" w:rsidRDefault="009B0F74" w:rsidP="009B0F74">
      <w:pPr>
        <w:pStyle w:val="ListParagraph"/>
        <w:numPr>
          <w:ilvl w:val="0"/>
          <w:numId w:val="32"/>
        </w:numPr>
        <w:rPr>
          <w:sz w:val="22"/>
          <w:szCs w:val="22"/>
        </w:rPr>
      </w:pPr>
      <w:r>
        <w:rPr>
          <w:sz w:val="22"/>
          <w:szCs w:val="22"/>
        </w:rPr>
        <w:t xml:space="preserve">This means 19.7% were unoccupied (down from </w:t>
      </w:r>
      <w:r w:rsidR="00D84E38">
        <w:rPr>
          <w:sz w:val="22"/>
          <w:szCs w:val="22"/>
        </w:rPr>
        <w:t>21.9</w:t>
      </w:r>
      <w:r>
        <w:rPr>
          <w:sz w:val="22"/>
          <w:szCs w:val="22"/>
        </w:rPr>
        <w:t>% in 2016) and compared to 11.0% in the Rest of NSW.</w:t>
      </w:r>
    </w:p>
    <w:p w14:paraId="08E91D70" w14:textId="77777777" w:rsidR="009B0F74" w:rsidRPr="00094F5A" w:rsidRDefault="009B0F74" w:rsidP="009B0F74">
      <w:pPr>
        <w:pStyle w:val="ListParagraph"/>
        <w:numPr>
          <w:ilvl w:val="0"/>
          <w:numId w:val="32"/>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721B192B"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14A16B67"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0FA20DBC"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56F5AB6E"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29BE7567"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0AAAAD1D"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50BFE9F5"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6D7F2D39"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42F6E003" w14:textId="77777777" w:rsidR="009B0F74" w:rsidRPr="00094F5A"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13FCBA1F" w14:textId="77777777" w:rsidR="009B0F74" w:rsidRDefault="009B0F74" w:rsidP="009B0F74">
      <w:pPr>
        <w:numPr>
          <w:ilvl w:val="1"/>
          <w:numId w:val="32"/>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617CE15F" w14:textId="77777777" w:rsidR="009B0F74" w:rsidRDefault="009B0F74" w:rsidP="009B0F74">
      <w:pPr>
        <w:shd w:val="clear" w:color="auto" w:fill="FFFFFF"/>
        <w:spacing w:before="0" w:after="0"/>
        <w:textAlignment w:val="baseline"/>
        <w:rPr>
          <w:rFonts w:cs="Arial"/>
          <w:color w:val="000000"/>
          <w:sz w:val="22"/>
          <w:szCs w:val="22"/>
        </w:rPr>
      </w:pPr>
      <w:r>
        <w:rPr>
          <w:rFonts w:cs="Arial"/>
          <w:color w:val="000000"/>
          <w:sz w:val="22"/>
          <w:szCs w:val="22"/>
        </w:rPr>
        <w:lastRenderedPageBreak/>
        <w:t>And particularly in rural and regional areas:</w:t>
      </w:r>
    </w:p>
    <w:p w14:paraId="0EDED680" w14:textId="77777777" w:rsidR="009B0F74" w:rsidRPr="00094F5A" w:rsidRDefault="009B0F74" w:rsidP="009B0F74">
      <w:pPr>
        <w:pStyle w:val="ListParagraph"/>
        <w:numPr>
          <w:ilvl w:val="0"/>
          <w:numId w:val="33"/>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15D7AFF0" w14:textId="77777777" w:rsidR="009B0F74" w:rsidRPr="007903BF" w:rsidRDefault="009B0F74" w:rsidP="009B0F74">
      <w:pPr>
        <w:pStyle w:val="ListParagraph"/>
        <w:numPr>
          <w:ilvl w:val="1"/>
          <w:numId w:val="32"/>
        </w:numPr>
        <w:rPr>
          <w:sz w:val="22"/>
          <w:szCs w:val="22"/>
        </w:rPr>
      </w:pPr>
      <w:r w:rsidRPr="007903BF">
        <w:rPr>
          <w:rFonts w:cs="Arial"/>
          <w:color w:val="000000"/>
          <w:sz w:val="22"/>
          <w:szCs w:val="22"/>
          <w:shd w:val="clear" w:color="auto" w:fill="FFFFFF"/>
        </w:rPr>
        <w:t>regional and rural areas which have experienced population decline;</w:t>
      </w:r>
    </w:p>
    <w:p w14:paraId="0E854FF3" w14:textId="77777777" w:rsidR="009B0F74" w:rsidRPr="00094F5A" w:rsidRDefault="009B0F74" w:rsidP="009B0F74">
      <w:pPr>
        <w:pStyle w:val="ListParagraph"/>
        <w:numPr>
          <w:ilvl w:val="1"/>
          <w:numId w:val="32"/>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2B58D4E0" w14:textId="77777777" w:rsidR="009B0F74" w:rsidRDefault="009B0F74" w:rsidP="009B0F74">
      <w:pPr>
        <w:pStyle w:val="ListParagraph"/>
        <w:numPr>
          <w:ilvl w:val="0"/>
          <w:numId w:val="32"/>
        </w:numPr>
        <w:rPr>
          <w:sz w:val="22"/>
          <w:szCs w:val="22"/>
        </w:rPr>
      </w:pPr>
      <w:r>
        <w:rPr>
          <w:sz w:val="22"/>
          <w:szCs w:val="22"/>
        </w:rPr>
        <w:t xml:space="preserve">The graph </w:t>
      </w:r>
      <w:r w:rsidR="00633192">
        <w:rPr>
          <w:sz w:val="22"/>
          <w:szCs w:val="22"/>
        </w:rPr>
        <w:t xml:space="preserve">and table </w:t>
      </w:r>
      <w:r>
        <w:rPr>
          <w:sz w:val="22"/>
          <w:szCs w:val="22"/>
        </w:rPr>
        <w:t xml:space="preserve">below show the proportion of occupied and unoccupied dwellings in the </w:t>
      </w:r>
      <w:r w:rsidR="00207247">
        <w:rPr>
          <w:sz w:val="22"/>
          <w:szCs w:val="22"/>
        </w:rPr>
        <w:t>Far West</w:t>
      </w:r>
      <w:r>
        <w:rPr>
          <w:sz w:val="22"/>
          <w:szCs w:val="22"/>
        </w:rPr>
        <w:t xml:space="preserve"> LGAs at the 2021 Census.</w:t>
      </w:r>
    </w:p>
    <w:p w14:paraId="09EB66AD" w14:textId="77777777" w:rsidR="00654300" w:rsidRPr="00654300" w:rsidRDefault="00654300" w:rsidP="00654300">
      <w:pPr>
        <w:rPr>
          <w:sz w:val="22"/>
          <w:szCs w:val="22"/>
        </w:rPr>
      </w:pPr>
    </w:p>
    <w:p w14:paraId="26CEB166" w14:textId="77777777" w:rsidR="00207247" w:rsidRDefault="00207247" w:rsidP="00207247">
      <w:pPr>
        <w:rPr>
          <w:sz w:val="22"/>
          <w:szCs w:val="22"/>
        </w:rPr>
      </w:pPr>
      <w:r>
        <w:rPr>
          <w:noProof/>
          <w:sz w:val="22"/>
          <w:szCs w:val="22"/>
        </w:rPr>
        <w:drawing>
          <wp:inline distT="0" distB="0" distL="0" distR="0" wp14:anchorId="389D6299" wp14:editId="08DC5DFA">
            <wp:extent cx="5487035" cy="37064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706495"/>
                    </a:xfrm>
                    <a:prstGeom prst="rect">
                      <a:avLst/>
                    </a:prstGeom>
                    <a:noFill/>
                  </pic:spPr>
                </pic:pic>
              </a:graphicData>
            </a:graphic>
          </wp:inline>
        </w:drawing>
      </w:r>
    </w:p>
    <w:p w14:paraId="62785285" w14:textId="77777777" w:rsidR="00633192" w:rsidRDefault="00633192" w:rsidP="00207247">
      <w:pPr>
        <w:rPr>
          <w:sz w:val="22"/>
          <w:szCs w:val="22"/>
        </w:rPr>
      </w:pPr>
      <w:r w:rsidRPr="00633192">
        <w:rPr>
          <w:noProof/>
        </w:rPr>
        <w:drawing>
          <wp:inline distT="0" distB="0" distL="0" distR="0" wp14:anchorId="090E03DC" wp14:editId="79B6BFB2">
            <wp:extent cx="5274310" cy="2536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36050"/>
                    </a:xfrm>
                    <a:prstGeom prst="rect">
                      <a:avLst/>
                    </a:prstGeom>
                    <a:noFill/>
                    <a:ln>
                      <a:noFill/>
                    </a:ln>
                  </pic:spPr>
                </pic:pic>
              </a:graphicData>
            </a:graphic>
          </wp:inline>
        </w:drawing>
      </w:r>
    </w:p>
    <w:p w14:paraId="3D02A88F" w14:textId="77777777" w:rsidR="00633192" w:rsidRPr="00207247" w:rsidRDefault="00633192" w:rsidP="00207247">
      <w:pPr>
        <w:rPr>
          <w:sz w:val="22"/>
          <w:szCs w:val="22"/>
        </w:rPr>
      </w:pPr>
    </w:p>
    <w:p w14:paraId="2A095389" w14:textId="77777777" w:rsidR="00207247" w:rsidRDefault="0020724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 xml:space="preserve">Note that within Far West, Unincorporated NSW has the highest proportion of occupied dwellings with 85.5% and </w:t>
      </w:r>
      <w:r w:rsidR="005B2D5F">
        <w:rPr>
          <w:rFonts w:cs="Arial"/>
          <w:color w:val="000000"/>
          <w:sz w:val="22"/>
          <w:szCs w:val="22"/>
          <w:shd w:val="clear" w:color="auto" w:fill="FFFFFF"/>
        </w:rPr>
        <w:t>Bourke</w:t>
      </w:r>
      <w:r>
        <w:rPr>
          <w:rFonts w:cs="Arial"/>
          <w:color w:val="000000"/>
          <w:sz w:val="22"/>
          <w:szCs w:val="22"/>
          <w:shd w:val="clear" w:color="auto" w:fill="FFFFFF"/>
        </w:rPr>
        <w:t xml:space="preserve"> has the lowest with 7</w:t>
      </w:r>
      <w:r w:rsidR="005B2D5F">
        <w:rPr>
          <w:rFonts w:cs="Arial"/>
          <w:color w:val="000000"/>
          <w:sz w:val="22"/>
          <w:szCs w:val="22"/>
          <w:shd w:val="clear" w:color="auto" w:fill="FFFFFF"/>
        </w:rPr>
        <w:t>0.7</w:t>
      </w:r>
      <w:r>
        <w:rPr>
          <w:rFonts w:cs="Arial"/>
          <w:color w:val="000000"/>
          <w:sz w:val="22"/>
          <w:szCs w:val="22"/>
          <w:shd w:val="clear" w:color="auto" w:fill="FFFFFF"/>
        </w:rPr>
        <w:t>%.</w:t>
      </w:r>
    </w:p>
    <w:p w14:paraId="42D68397" w14:textId="77777777" w:rsidR="00207247" w:rsidRDefault="0020724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 xml:space="preserve">At the 2021 Census, the </w:t>
      </w:r>
      <w:r w:rsidR="00DD35A7">
        <w:rPr>
          <w:rFonts w:cs="Arial"/>
          <w:color w:val="000000"/>
          <w:sz w:val="22"/>
          <w:szCs w:val="22"/>
          <w:shd w:val="clear" w:color="auto" w:fill="FFFFFF"/>
        </w:rPr>
        <w:t>vast</w:t>
      </w:r>
      <w:r>
        <w:rPr>
          <w:rFonts w:cs="Arial"/>
          <w:color w:val="000000"/>
          <w:sz w:val="22"/>
          <w:szCs w:val="22"/>
          <w:shd w:val="clear" w:color="auto" w:fill="FFFFFF"/>
        </w:rPr>
        <w:t xml:space="preserve"> majority of occupied dwellings in the </w:t>
      </w:r>
      <w:r w:rsidR="00DD35A7">
        <w:rPr>
          <w:rFonts w:cs="Arial"/>
          <w:color w:val="000000"/>
          <w:sz w:val="22"/>
          <w:szCs w:val="22"/>
          <w:shd w:val="clear" w:color="auto" w:fill="FFFFFF"/>
        </w:rPr>
        <w:t>Far West</w:t>
      </w:r>
      <w:r>
        <w:rPr>
          <w:rFonts w:cs="Arial"/>
          <w:color w:val="000000"/>
          <w:sz w:val="22"/>
          <w:szCs w:val="22"/>
          <w:shd w:val="clear" w:color="auto" w:fill="FFFFFF"/>
        </w:rPr>
        <w:t xml:space="preserve"> were separate houses, comprising </w:t>
      </w:r>
      <w:r w:rsidR="00DD35A7">
        <w:rPr>
          <w:rFonts w:cs="Arial"/>
          <w:color w:val="000000"/>
          <w:sz w:val="22"/>
          <w:szCs w:val="22"/>
          <w:shd w:val="clear" w:color="auto" w:fill="FFFFFF"/>
        </w:rPr>
        <w:t>90.5</w:t>
      </w:r>
      <w:r>
        <w:rPr>
          <w:rFonts w:cs="Arial"/>
          <w:color w:val="000000"/>
          <w:sz w:val="22"/>
          <w:szCs w:val="22"/>
          <w:shd w:val="clear" w:color="auto" w:fill="FFFFFF"/>
        </w:rPr>
        <w:t>% of all occupied dwellings, compared to 82.5% in the Rest of NSW.  The proportion of separate houses within the region ranges from 9</w:t>
      </w:r>
      <w:r w:rsidR="00DD35A7">
        <w:rPr>
          <w:rFonts w:cs="Arial"/>
          <w:color w:val="000000"/>
          <w:sz w:val="22"/>
          <w:szCs w:val="22"/>
          <w:shd w:val="clear" w:color="auto" w:fill="FFFFFF"/>
        </w:rPr>
        <w:t>4.6</w:t>
      </w:r>
      <w:r>
        <w:rPr>
          <w:rFonts w:cs="Arial"/>
          <w:color w:val="000000"/>
          <w:sz w:val="22"/>
          <w:szCs w:val="22"/>
          <w:shd w:val="clear" w:color="auto" w:fill="FFFFFF"/>
        </w:rPr>
        <w:t xml:space="preserve">% in </w:t>
      </w:r>
      <w:r w:rsidR="00DD35A7">
        <w:rPr>
          <w:rFonts w:cs="Arial"/>
          <w:color w:val="000000"/>
          <w:sz w:val="22"/>
          <w:szCs w:val="22"/>
          <w:shd w:val="clear" w:color="auto" w:fill="FFFFFF"/>
        </w:rPr>
        <w:t>Broken Hill to 75.4</w:t>
      </w:r>
      <w:r>
        <w:rPr>
          <w:rFonts w:cs="Arial"/>
          <w:color w:val="000000"/>
          <w:sz w:val="22"/>
          <w:szCs w:val="22"/>
          <w:shd w:val="clear" w:color="auto" w:fill="FFFFFF"/>
        </w:rPr>
        <w:t xml:space="preserve">% in </w:t>
      </w:r>
      <w:r w:rsidR="00DD35A7">
        <w:rPr>
          <w:rFonts w:cs="Arial"/>
          <w:color w:val="000000"/>
          <w:sz w:val="22"/>
          <w:szCs w:val="22"/>
          <w:shd w:val="clear" w:color="auto" w:fill="FFFFFF"/>
        </w:rPr>
        <w:t>Walgett</w:t>
      </w:r>
      <w:r>
        <w:rPr>
          <w:rFonts w:cs="Arial"/>
          <w:color w:val="000000"/>
          <w:sz w:val="22"/>
          <w:szCs w:val="22"/>
          <w:shd w:val="clear" w:color="auto" w:fill="FFFFFF"/>
        </w:rPr>
        <w:t>.</w:t>
      </w:r>
    </w:p>
    <w:p w14:paraId="3A830302" w14:textId="77777777" w:rsidR="00207247" w:rsidRDefault="00DD35A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Just 3.1</w:t>
      </w:r>
      <w:r w:rsidR="00207247">
        <w:rPr>
          <w:rFonts w:cs="Arial"/>
          <w:color w:val="000000"/>
          <w:sz w:val="22"/>
          <w:szCs w:val="22"/>
          <w:shd w:val="clear" w:color="auto" w:fill="FFFFFF"/>
        </w:rPr>
        <w:t xml:space="preserve">% of occupied homes in the </w:t>
      </w:r>
      <w:r>
        <w:rPr>
          <w:rFonts w:cs="Arial"/>
          <w:color w:val="000000"/>
          <w:sz w:val="22"/>
          <w:szCs w:val="22"/>
          <w:shd w:val="clear" w:color="auto" w:fill="FFFFFF"/>
        </w:rPr>
        <w:t>Far West</w:t>
      </w:r>
      <w:r w:rsidR="00207247">
        <w:rPr>
          <w:rFonts w:cs="Arial"/>
          <w:color w:val="000000"/>
          <w:sz w:val="22"/>
          <w:szCs w:val="22"/>
          <w:shd w:val="clear" w:color="auto" w:fill="FFFFFF"/>
        </w:rPr>
        <w:t xml:space="preserve"> were semi-detached, terrace or town houses, (compared to 6.3% in the Rest of NSW) and ranging from </w:t>
      </w:r>
      <w:r w:rsidR="00001E3E">
        <w:rPr>
          <w:rFonts w:cs="Arial"/>
          <w:color w:val="000000"/>
          <w:sz w:val="22"/>
          <w:szCs w:val="22"/>
          <w:shd w:val="clear" w:color="auto" w:fill="FFFFFF"/>
        </w:rPr>
        <w:t>7.6</w:t>
      </w:r>
      <w:r w:rsidR="00207247">
        <w:rPr>
          <w:rFonts w:cs="Arial"/>
          <w:color w:val="000000"/>
          <w:sz w:val="22"/>
          <w:szCs w:val="22"/>
          <w:shd w:val="clear" w:color="auto" w:fill="FFFFFF"/>
        </w:rPr>
        <w:t xml:space="preserve">% in </w:t>
      </w:r>
      <w:r w:rsidR="00001E3E">
        <w:rPr>
          <w:rFonts w:cs="Arial"/>
          <w:color w:val="000000"/>
          <w:sz w:val="22"/>
          <w:szCs w:val="22"/>
          <w:shd w:val="clear" w:color="auto" w:fill="FFFFFF"/>
        </w:rPr>
        <w:t>Brewarrina</w:t>
      </w:r>
      <w:r w:rsidR="00207247">
        <w:rPr>
          <w:rFonts w:cs="Arial"/>
          <w:color w:val="000000"/>
          <w:sz w:val="22"/>
          <w:szCs w:val="22"/>
          <w:shd w:val="clear" w:color="auto" w:fill="FFFFFF"/>
        </w:rPr>
        <w:t xml:space="preserve"> to 1.</w:t>
      </w:r>
      <w:r>
        <w:rPr>
          <w:rFonts w:cs="Arial"/>
          <w:color w:val="000000"/>
          <w:sz w:val="22"/>
          <w:szCs w:val="22"/>
          <w:shd w:val="clear" w:color="auto" w:fill="FFFFFF"/>
        </w:rPr>
        <w:t>3</w:t>
      </w:r>
      <w:r w:rsidR="00207247">
        <w:rPr>
          <w:rFonts w:cs="Arial"/>
          <w:color w:val="000000"/>
          <w:sz w:val="22"/>
          <w:szCs w:val="22"/>
          <w:shd w:val="clear" w:color="auto" w:fill="FFFFFF"/>
        </w:rPr>
        <w:t xml:space="preserve">% in </w:t>
      </w:r>
      <w:r>
        <w:rPr>
          <w:rFonts w:cs="Arial"/>
          <w:color w:val="000000"/>
          <w:sz w:val="22"/>
          <w:szCs w:val="22"/>
          <w:shd w:val="clear" w:color="auto" w:fill="FFFFFF"/>
        </w:rPr>
        <w:t>Bourke</w:t>
      </w:r>
      <w:r w:rsidR="00207247">
        <w:rPr>
          <w:rFonts w:cs="Arial"/>
          <w:color w:val="000000"/>
          <w:sz w:val="22"/>
          <w:szCs w:val="22"/>
          <w:shd w:val="clear" w:color="auto" w:fill="FFFFFF"/>
        </w:rPr>
        <w:t>.</w:t>
      </w:r>
    </w:p>
    <w:p w14:paraId="4F1744AF" w14:textId="77777777" w:rsidR="00207247" w:rsidRDefault="0020724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3.</w:t>
      </w:r>
      <w:r w:rsidR="00DD35A7">
        <w:rPr>
          <w:rFonts w:cs="Arial"/>
          <w:color w:val="000000"/>
          <w:sz w:val="22"/>
          <w:szCs w:val="22"/>
          <w:shd w:val="clear" w:color="auto" w:fill="FFFFFF"/>
        </w:rPr>
        <w:t>1</w:t>
      </w:r>
      <w:r>
        <w:rPr>
          <w:rFonts w:cs="Arial"/>
          <w:color w:val="000000"/>
          <w:sz w:val="22"/>
          <w:szCs w:val="22"/>
          <w:shd w:val="clear" w:color="auto" w:fill="FFFFFF"/>
        </w:rPr>
        <w:t xml:space="preserve">% of occupied homes in the region were flats (compared to 9.9% in the Rest of NSW), ranging from </w:t>
      </w:r>
      <w:r w:rsidR="00DD35A7">
        <w:rPr>
          <w:rFonts w:cs="Arial"/>
          <w:color w:val="000000"/>
          <w:sz w:val="22"/>
          <w:szCs w:val="22"/>
          <w:shd w:val="clear" w:color="auto" w:fill="FFFFFF"/>
        </w:rPr>
        <w:t>4.8</w:t>
      </w:r>
      <w:r>
        <w:rPr>
          <w:rFonts w:cs="Arial"/>
          <w:color w:val="000000"/>
          <w:sz w:val="22"/>
          <w:szCs w:val="22"/>
          <w:shd w:val="clear" w:color="auto" w:fill="FFFFFF"/>
        </w:rPr>
        <w:t xml:space="preserve">% in </w:t>
      </w:r>
      <w:r w:rsidR="00DD35A7">
        <w:rPr>
          <w:rFonts w:cs="Arial"/>
          <w:color w:val="000000"/>
          <w:sz w:val="22"/>
          <w:szCs w:val="22"/>
          <w:shd w:val="clear" w:color="auto" w:fill="FFFFFF"/>
        </w:rPr>
        <w:t>Cobar</w:t>
      </w:r>
      <w:r>
        <w:rPr>
          <w:rFonts w:cs="Arial"/>
          <w:color w:val="000000"/>
          <w:sz w:val="22"/>
          <w:szCs w:val="22"/>
          <w:shd w:val="clear" w:color="auto" w:fill="FFFFFF"/>
        </w:rPr>
        <w:t xml:space="preserve"> to 0.</w:t>
      </w:r>
      <w:r w:rsidR="007F2786">
        <w:rPr>
          <w:rFonts w:cs="Arial"/>
          <w:color w:val="000000"/>
          <w:sz w:val="22"/>
          <w:szCs w:val="22"/>
          <w:shd w:val="clear" w:color="auto" w:fill="FFFFFF"/>
        </w:rPr>
        <w:t>6</w:t>
      </w:r>
      <w:r>
        <w:rPr>
          <w:rFonts w:cs="Arial"/>
          <w:color w:val="000000"/>
          <w:sz w:val="22"/>
          <w:szCs w:val="22"/>
          <w:shd w:val="clear" w:color="auto" w:fill="FFFFFF"/>
        </w:rPr>
        <w:t xml:space="preserve">% in </w:t>
      </w:r>
      <w:r w:rsidR="007F2786">
        <w:rPr>
          <w:rFonts w:cs="Arial"/>
          <w:color w:val="000000"/>
          <w:sz w:val="22"/>
          <w:szCs w:val="22"/>
          <w:shd w:val="clear" w:color="auto" w:fill="FFFFFF"/>
        </w:rPr>
        <w:t>Brewarrina</w:t>
      </w:r>
      <w:r>
        <w:rPr>
          <w:rFonts w:cs="Arial"/>
          <w:color w:val="000000"/>
          <w:sz w:val="22"/>
          <w:szCs w:val="22"/>
          <w:shd w:val="clear" w:color="auto" w:fill="FFFFFF"/>
        </w:rPr>
        <w:t>.</w:t>
      </w:r>
    </w:p>
    <w:p w14:paraId="4AB2C910" w14:textId="77777777" w:rsidR="00207247" w:rsidRDefault="0020724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The region lacks diversity in dwelling types.</w:t>
      </w:r>
    </w:p>
    <w:p w14:paraId="47D83C56" w14:textId="77777777" w:rsidR="00207247" w:rsidRDefault="00207247" w:rsidP="00207247">
      <w:pPr>
        <w:pStyle w:val="ListParagraph"/>
        <w:numPr>
          <w:ilvl w:val="0"/>
          <w:numId w:val="2"/>
        </w:numPr>
        <w:rPr>
          <w:rFonts w:cs="Arial"/>
          <w:color w:val="000000"/>
          <w:sz w:val="22"/>
          <w:szCs w:val="22"/>
          <w:shd w:val="clear" w:color="auto" w:fill="FFFFFF"/>
        </w:rPr>
      </w:pPr>
      <w:r>
        <w:rPr>
          <w:rFonts w:cs="Arial"/>
          <w:color w:val="000000"/>
          <w:sz w:val="22"/>
          <w:szCs w:val="22"/>
          <w:shd w:val="clear" w:color="auto" w:fill="FFFFFF"/>
        </w:rPr>
        <w:t xml:space="preserve">The graph below shows the proportion of dwelling types for the </w:t>
      </w:r>
      <w:r w:rsidR="00001E3E">
        <w:rPr>
          <w:rFonts w:cs="Arial"/>
          <w:color w:val="000000"/>
          <w:sz w:val="22"/>
          <w:szCs w:val="22"/>
          <w:shd w:val="clear" w:color="auto" w:fill="FFFFFF"/>
        </w:rPr>
        <w:t>Far West</w:t>
      </w:r>
      <w:r>
        <w:rPr>
          <w:rFonts w:cs="Arial"/>
          <w:color w:val="000000"/>
          <w:sz w:val="22"/>
          <w:szCs w:val="22"/>
          <w:shd w:val="clear" w:color="auto" w:fill="FFFFFF"/>
        </w:rPr>
        <w:t xml:space="preserve"> LGAs at the 2021 Census.</w:t>
      </w:r>
    </w:p>
    <w:p w14:paraId="4D8F7AB2" w14:textId="77777777" w:rsidR="008F79FD" w:rsidRDefault="008F79FD" w:rsidP="008F79FD">
      <w:pPr>
        <w:rPr>
          <w:rFonts w:cs="Arial"/>
          <w:color w:val="000000"/>
          <w:sz w:val="22"/>
          <w:szCs w:val="22"/>
          <w:shd w:val="clear" w:color="auto" w:fill="FFFFFF"/>
        </w:rPr>
      </w:pPr>
    </w:p>
    <w:p w14:paraId="1462D522" w14:textId="77777777" w:rsidR="008F79FD" w:rsidRPr="008F79FD" w:rsidRDefault="008F79FD" w:rsidP="008F79FD">
      <w:pPr>
        <w:rPr>
          <w:rFonts w:cs="Arial"/>
          <w:color w:val="000000"/>
          <w:sz w:val="22"/>
          <w:szCs w:val="22"/>
          <w:shd w:val="clear" w:color="auto" w:fill="FFFFFF"/>
        </w:rPr>
      </w:pPr>
      <w:r>
        <w:rPr>
          <w:rFonts w:cs="Arial"/>
          <w:noProof/>
          <w:color w:val="000000"/>
          <w:sz w:val="22"/>
          <w:szCs w:val="22"/>
          <w:shd w:val="clear" w:color="auto" w:fill="FFFFFF"/>
        </w:rPr>
        <w:drawing>
          <wp:inline distT="0" distB="0" distL="0" distR="0" wp14:anchorId="72E51961" wp14:editId="5A0B990B">
            <wp:extent cx="6118860" cy="38483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705" cy="3850117"/>
                    </a:xfrm>
                    <a:prstGeom prst="rect">
                      <a:avLst/>
                    </a:prstGeom>
                    <a:noFill/>
                  </pic:spPr>
                </pic:pic>
              </a:graphicData>
            </a:graphic>
          </wp:inline>
        </w:drawing>
      </w:r>
    </w:p>
    <w:p w14:paraId="2E97445B" w14:textId="77777777" w:rsidR="009B0F74" w:rsidRDefault="009B0F74" w:rsidP="00207247">
      <w:pPr>
        <w:spacing w:before="0" w:after="0"/>
        <w:rPr>
          <w:sz w:val="22"/>
          <w:szCs w:val="22"/>
        </w:rPr>
      </w:pPr>
    </w:p>
    <w:p w14:paraId="7C262A13" w14:textId="77777777" w:rsidR="008F79FD" w:rsidRDefault="008F79FD" w:rsidP="008F79FD">
      <w:pPr>
        <w:pStyle w:val="ListParagraph"/>
        <w:numPr>
          <w:ilvl w:val="0"/>
          <w:numId w:val="35"/>
        </w:numPr>
        <w:rPr>
          <w:rFonts w:cs="Arial"/>
          <w:color w:val="000000"/>
          <w:sz w:val="22"/>
          <w:szCs w:val="22"/>
          <w:shd w:val="clear" w:color="auto" w:fill="FFFFFF"/>
        </w:rPr>
      </w:pPr>
      <w:r>
        <w:rPr>
          <w:rFonts w:cs="Arial"/>
          <w:color w:val="000000"/>
          <w:sz w:val="22"/>
          <w:szCs w:val="22"/>
          <w:shd w:val="clear" w:color="auto" w:fill="FFFFFF"/>
        </w:rPr>
        <w:t>The next graph compares the proportion of different occupied dwelling types for the Far West with that for the Rest of NSW.  While regional NSW also lacks diversity in dwelling types, it generally has greater diversity than the Far West.</w:t>
      </w:r>
    </w:p>
    <w:p w14:paraId="5F2924FE" w14:textId="77777777" w:rsidR="008F79FD" w:rsidRPr="008F79FD" w:rsidRDefault="008F79FD" w:rsidP="008F79FD">
      <w:pPr>
        <w:rPr>
          <w:rFonts w:cs="Arial"/>
          <w:color w:val="000000"/>
          <w:sz w:val="22"/>
          <w:szCs w:val="22"/>
          <w:shd w:val="clear" w:color="auto" w:fill="FFFFFF"/>
        </w:rPr>
      </w:pPr>
      <w:r>
        <w:rPr>
          <w:rFonts w:cs="Arial"/>
          <w:noProof/>
          <w:color w:val="000000"/>
          <w:sz w:val="22"/>
          <w:szCs w:val="22"/>
          <w:shd w:val="clear" w:color="auto" w:fill="FFFFFF"/>
        </w:rPr>
        <w:lastRenderedPageBreak/>
        <w:drawing>
          <wp:inline distT="0" distB="0" distL="0" distR="0" wp14:anchorId="09FB301D" wp14:editId="04717858">
            <wp:extent cx="5248910" cy="39687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3968750"/>
                    </a:xfrm>
                    <a:prstGeom prst="rect">
                      <a:avLst/>
                    </a:prstGeom>
                    <a:noFill/>
                  </pic:spPr>
                </pic:pic>
              </a:graphicData>
            </a:graphic>
          </wp:inline>
        </w:drawing>
      </w:r>
    </w:p>
    <w:p w14:paraId="487D1B7C" w14:textId="77777777" w:rsidR="00207247" w:rsidRDefault="00207247" w:rsidP="00207247">
      <w:pPr>
        <w:spacing w:before="0" w:after="0"/>
        <w:rPr>
          <w:sz w:val="22"/>
          <w:szCs w:val="22"/>
        </w:rPr>
      </w:pPr>
    </w:p>
    <w:p w14:paraId="02943D84" w14:textId="77777777" w:rsidR="008F79FD" w:rsidRDefault="008F79FD" w:rsidP="008F79FD">
      <w:pPr>
        <w:pStyle w:val="ListParagraph"/>
        <w:numPr>
          <w:ilvl w:val="0"/>
          <w:numId w:val="34"/>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w:t>
      </w:r>
      <w:r w:rsidR="00D80151">
        <w:rPr>
          <w:rFonts w:cs="Arial"/>
          <w:color w:val="000000"/>
          <w:sz w:val="22"/>
          <w:szCs w:val="22"/>
          <w:shd w:val="clear" w:color="auto" w:fill="FFFFFF"/>
        </w:rPr>
        <w:t>2.0</w:t>
      </w:r>
      <w:r>
        <w:rPr>
          <w:rFonts w:cs="Arial"/>
          <w:color w:val="000000"/>
          <w:sz w:val="22"/>
          <w:szCs w:val="22"/>
          <w:shd w:val="clear" w:color="auto" w:fill="FFFFFF"/>
        </w:rPr>
        <w:t xml:space="preserve">% of occupied dwellings in the region and include caravans, cabins, houseboats, improvised dwellings and flats attached to shops.  Census data shows </w:t>
      </w:r>
      <w:r w:rsidR="00D80151">
        <w:rPr>
          <w:rFonts w:cs="Arial"/>
          <w:color w:val="000000"/>
          <w:sz w:val="22"/>
          <w:szCs w:val="22"/>
          <w:shd w:val="clear" w:color="auto" w:fill="FFFFFF"/>
        </w:rPr>
        <w:t>94</w:t>
      </w:r>
      <w:r>
        <w:rPr>
          <w:rFonts w:cs="Arial"/>
          <w:color w:val="000000"/>
          <w:sz w:val="22"/>
          <w:szCs w:val="22"/>
          <w:shd w:val="clear" w:color="auto" w:fill="FFFFFF"/>
        </w:rPr>
        <w:t xml:space="preserve"> households living in caravans, </w:t>
      </w:r>
      <w:r w:rsidR="00D80151">
        <w:rPr>
          <w:rFonts w:cs="Arial"/>
          <w:color w:val="000000"/>
          <w:sz w:val="22"/>
          <w:szCs w:val="22"/>
          <w:shd w:val="clear" w:color="auto" w:fill="FFFFFF"/>
        </w:rPr>
        <w:t xml:space="preserve">12 </w:t>
      </w:r>
      <w:r>
        <w:rPr>
          <w:rFonts w:cs="Arial"/>
          <w:color w:val="000000"/>
          <w:sz w:val="22"/>
          <w:szCs w:val="22"/>
          <w:shd w:val="clear" w:color="auto" w:fill="FFFFFF"/>
        </w:rPr>
        <w:t xml:space="preserve">living in cabins or houseboats, </w:t>
      </w:r>
      <w:r w:rsidR="00D80151">
        <w:rPr>
          <w:rFonts w:cs="Arial"/>
          <w:color w:val="000000"/>
          <w:sz w:val="22"/>
          <w:szCs w:val="22"/>
          <w:shd w:val="clear" w:color="auto" w:fill="FFFFFF"/>
        </w:rPr>
        <w:t>208</w:t>
      </w:r>
      <w:r>
        <w:rPr>
          <w:rFonts w:cs="Arial"/>
          <w:color w:val="000000"/>
          <w:sz w:val="22"/>
          <w:szCs w:val="22"/>
          <w:shd w:val="clear" w:color="auto" w:fill="FFFFFF"/>
        </w:rPr>
        <w:t xml:space="preserve"> living in improvised dwellings and </w:t>
      </w:r>
      <w:r w:rsidR="00D80151">
        <w:rPr>
          <w:rFonts w:cs="Arial"/>
          <w:color w:val="000000"/>
          <w:sz w:val="22"/>
          <w:szCs w:val="22"/>
          <w:shd w:val="clear" w:color="auto" w:fill="FFFFFF"/>
        </w:rPr>
        <w:t>30</w:t>
      </w:r>
      <w:r>
        <w:rPr>
          <w:rFonts w:cs="Arial"/>
          <w:color w:val="000000"/>
          <w:sz w:val="22"/>
          <w:szCs w:val="22"/>
          <w:shd w:val="clear" w:color="auto" w:fill="FFFFFF"/>
        </w:rPr>
        <w:t xml:space="preserve"> in flats attached to shops in the region.  </w:t>
      </w:r>
    </w:p>
    <w:p w14:paraId="0C089FC9" w14:textId="77777777" w:rsidR="008F79FD" w:rsidRDefault="008F79FD" w:rsidP="008F79FD">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were </w:t>
      </w:r>
      <w:r w:rsidR="00D80151">
        <w:rPr>
          <w:rFonts w:cs="Arial"/>
          <w:color w:val="000000"/>
          <w:sz w:val="22"/>
          <w:szCs w:val="22"/>
          <w:shd w:val="clear" w:color="auto" w:fill="FFFFFF"/>
        </w:rPr>
        <w:t>106</w:t>
      </w:r>
      <w:r w:rsidRPr="00F95C25">
        <w:rPr>
          <w:rFonts w:cs="Arial"/>
          <w:color w:val="000000"/>
          <w:sz w:val="22"/>
          <w:szCs w:val="22"/>
          <w:shd w:val="clear" w:color="auto" w:fill="FFFFFF"/>
        </w:rPr>
        <w:t xml:space="preserve"> household</w:t>
      </w:r>
      <w:r w:rsidR="00D80151">
        <w:rPr>
          <w:rFonts w:cs="Arial"/>
          <w:color w:val="000000"/>
          <w:sz w:val="22"/>
          <w:szCs w:val="22"/>
          <w:shd w:val="clear" w:color="auto" w:fill="FFFFFF"/>
        </w:rPr>
        <w:t>s</w:t>
      </w:r>
      <w:r w:rsidRPr="00F95C25">
        <w:rPr>
          <w:rFonts w:cs="Arial"/>
          <w:color w:val="000000"/>
          <w:sz w:val="22"/>
          <w:szCs w:val="22"/>
          <w:shd w:val="clear" w:color="auto" w:fill="FFFFFF"/>
        </w:rPr>
        <w:t xml:space="preserve"> living in caravan, cabin/houseboat accommodation, down from </w:t>
      </w:r>
      <w:r w:rsidR="00D80151">
        <w:rPr>
          <w:rFonts w:cs="Arial"/>
          <w:color w:val="000000"/>
          <w:sz w:val="22"/>
          <w:szCs w:val="22"/>
          <w:shd w:val="clear" w:color="auto" w:fill="FFFFFF"/>
        </w:rPr>
        <w:t>151</w:t>
      </w:r>
      <w:r w:rsidRPr="00F95C25">
        <w:rPr>
          <w:rFonts w:cs="Arial"/>
          <w:color w:val="000000"/>
          <w:sz w:val="22"/>
          <w:szCs w:val="22"/>
          <w:shd w:val="clear" w:color="auto" w:fill="FFFFFF"/>
        </w:rPr>
        <w:t xml:space="preserve"> in 2016.  T</w:t>
      </w:r>
      <w:r w:rsidRPr="00F95C25">
        <w:rPr>
          <w:sz w:val="22"/>
          <w:szCs w:val="22"/>
        </w:rPr>
        <w:t xml:space="preserve">his is down from </w:t>
      </w:r>
      <w:r w:rsidR="00D80151">
        <w:rPr>
          <w:sz w:val="22"/>
          <w:szCs w:val="22"/>
        </w:rPr>
        <w:t>437</w:t>
      </w:r>
      <w:r w:rsidRPr="00F95C25">
        <w:rPr>
          <w:sz w:val="22"/>
          <w:szCs w:val="22"/>
        </w:rPr>
        <w:t xml:space="preserve"> at the 2006 Census.</w:t>
      </w:r>
    </w:p>
    <w:p w14:paraId="41E6A9A7" w14:textId="77777777" w:rsidR="008F79FD" w:rsidRDefault="008F79FD" w:rsidP="008F79FD">
      <w:pPr>
        <w:pStyle w:val="ListParagraph"/>
        <w:numPr>
          <w:ilvl w:val="0"/>
          <w:numId w:val="13"/>
        </w:numPr>
        <w:spacing w:before="0" w:after="0"/>
        <w:rPr>
          <w:sz w:val="22"/>
          <w:szCs w:val="22"/>
        </w:rPr>
      </w:pPr>
      <w:r>
        <w:rPr>
          <w:sz w:val="22"/>
          <w:szCs w:val="22"/>
        </w:rPr>
        <w:t>While people living in caravans are included in the homeless data in the Census, c</w:t>
      </w:r>
      <w:r w:rsidRPr="007F59AF">
        <w:rPr>
          <w:sz w:val="22"/>
          <w:szCs w:val="22"/>
        </w:rPr>
        <w:t xml:space="preserve">aravan or residential parks are one of the few remaining affordable housing options for lower income earners. The loss of this accommodation reduces options for lower income households and reduces flexibility to deal with seasonal workers and changes in mining workforces.  </w:t>
      </w:r>
      <w:r w:rsidR="00D80151">
        <w:rPr>
          <w:sz w:val="22"/>
          <w:szCs w:val="22"/>
        </w:rPr>
        <w:t>Wentworth</w:t>
      </w:r>
      <w:r w:rsidRPr="007F59AF">
        <w:rPr>
          <w:sz w:val="22"/>
          <w:szCs w:val="22"/>
        </w:rPr>
        <w:t xml:space="preserve"> (</w:t>
      </w:r>
      <w:r w:rsidR="00D80151">
        <w:rPr>
          <w:sz w:val="22"/>
          <w:szCs w:val="22"/>
        </w:rPr>
        <w:t>42</w:t>
      </w:r>
      <w:r w:rsidRPr="007F59AF">
        <w:rPr>
          <w:sz w:val="22"/>
          <w:szCs w:val="22"/>
        </w:rPr>
        <w:t xml:space="preserve">) had the highest remaining numbers of caravan, cabin/ houseboat dwellings in the region at 2016, followed by </w:t>
      </w:r>
      <w:r w:rsidR="00D80151">
        <w:rPr>
          <w:sz w:val="22"/>
          <w:szCs w:val="22"/>
        </w:rPr>
        <w:t>Walgett</w:t>
      </w:r>
      <w:r w:rsidRPr="007F59AF">
        <w:rPr>
          <w:sz w:val="22"/>
          <w:szCs w:val="22"/>
        </w:rPr>
        <w:t xml:space="preserve"> (</w:t>
      </w:r>
      <w:r w:rsidR="00D80151">
        <w:rPr>
          <w:sz w:val="22"/>
          <w:szCs w:val="22"/>
        </w:rPr>
        <w:t>26</w:t>
      </w:r>
      <w:r w:rsidRPr="007F59AF">
        <w:rPr>
          <w:sz w:val="22"/>
          <w:szCs w:val="22"/>
        </w:rPr>
        <w:t>).</w:t>
      </w:r>
    </w:p>
    <w:p w14:paraId="49074F03" w14:textId="77777777" w:rsidR="00D80151" w:rsidRDefault="00D80151" w:rsidP="008F79FD">
      <w:pPr>
        <w:pStyle w:val="ListParagraph"/>
        <w:numPr>
          <w:ilvl w:val="0"/>
          <w:numId w:val="13"/>
        </w:numPr>
        <w:spacing w:before="0" w:after="0"/>
        <w:rPr>
          <w:sz w:val="22"/>
          <w:szCs w:val="22"/>
        </w:rPr>
      </w:pPr>
      <w:r>
        <w:rPr>
          <w:sz w:val="22"/>
          <w:szCs w:val="22"/>
        </w:rPr>
        <w:t>The region also has an unusually high number of people living in improvised dwellings.</w:t>
      </w:r>
      <w:r w:rsidR="000F0FEA">
        <w:rPr>
          <w:sz w:val="22"/>
          <w:szCs w:val="22"/>
        </w:rPr>
        <w:t xml:space="preserve">  According to the ABS;</w:t>
      </w:r>
    </w:p>
    <w:p w14:paraId="386F1176" w14:textId="77777777" w:rsidR="000F0FEA" w:rsidRPr="007F59AF" w:rsidRDefault="000F0FEA" w:rsidP="000F0FEA">
      <w:pPr>
        <w:pStyle w:val="ListParagraph"/>
        <w:numPr>
          <w:ilvl w:val="1"/>
          <w:numId w:val="13"/>
        </w:numPr>
        <w:spacing w:before="0" w:after="0"/>
        <w:rPr>
          <w:sz w:val="22"/>
          <w:szCs w:val="22"/>
        </w:rPr>
      </w:pPr>
      <w:r>
        <w:rPr>
          <w:sz w:val="22"/>
          <w:szCs w:val="22"/>
        </w:rPr>
        <w:t>“</w:t>
      </w:r>
      <w:r w:rsidRPr="000F0FEA">
        <w:rPr>
          <w:sz w:val="22"/>
          <w:szCs w:val="22"/>
        </w:rPr>
        <w:t xml:space="preserve">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w:t>
      </w:r>
      <w:r w:rsidRPr="000F0FEA">
        <w:rPr>
          <w:sz w:val="22"/>
          <w:szCs w:val="22"/>
        </w:rPr>
        <w:lastRenderedPageBreak/>
        <w:t>many living situations, the dwelling will be adequate. They are however included in marginal housing and may be at risk of homelessness.</w:t>
      </w:r>
      <w:r>
        <w:rPr>
          <w:sz w:val="22"/>
          <w:szCs w:val="22"/>
        </w:rPr>
        <w:t>”</w:t>
      </w:r>
    </w:p>
    <w:p w14:paraId="17FDC0E0" w14:textId="77777777" w:rsidR="00207247" w:rsidRDefault="00207247" w:rsidP="00207247">
      <w:pPr>
        <w:spacing w:before="0" w:after="0"/>
        <w:rPr>
          <w:sz w:val="22"/>
          <w:szCs w:val="22"/>
        </w:rPr>
      </w:pPr>
    </w:p>
    <w:p w14:paraId="7CDCFF27" w14:textId="77777777" w:rsidR="00207247" w:rsidRDefault="00207247" w:rsidP="00207247">
      <w:pPr>
        <w:spacing w:before="0" w:after="0"/>
        <w:rPr>
          <w:sz w:val="22"/>
          <w:szCs w:val="22"/>
        </w:rPr>
      </w:pPr>
    </w:p>
    <w:p w14:paraId="45357AB2" w14:textId="77777777" w:rsidR="005E6A37" w:rsidRPr="00AB6BB4" w:rsidRDefault="005E6A37" w:rsidP="005E6A37">
      <w:pPr>
        <w:spacing w:before="0" w:after="0"/>
        <w:rPr>
          <w:b/>
          <w:sz w:val="22"/>
          <w:szCs w:val="22"/>
        </w:rPr>
      </w:pPr>
      <w:r w:rsidRPr="00AB6BB4">
        <w:rPr>
          <w:b/>
          <w:sz w:val="22"/>
          <w:szCs w:val="22"/>
        </w:rPr>
        <w:t>Quality of housing for Aboriginal Households</w:t>
      </w:r>
    </w:p>
    <w:p w14:paraId="2FB0DE80" w14:textId="77777777" w:rsidR="005E6A37" w:rsidRPr="00AB6BB4" w:rsidRDefault="005E6A37" w:rsidP="005E6A37">
      <w:pPr>
        <w:spacing w:before="0" w:after="0"/>
        <w:rPr>
          <w:sz w:val="20"/>
          <w:szCs w:val="20"/>
        </w:rPr>
      </w:pPr>
    </w:p>
    <w:p w14:paraId="2F549431" w14:textId="77777777" w:rsidR="00AB6BB4" w:rsidRPr="00AB6BB4" w:rsidRDefault="00AB6BB4" w:rsidP="004D0424">
      <w:pPr>
        <w:pStyle w:val="ListParagraph"/>
        <w:numPr>
          <w:ilvl w:val="0"/>
          <w:numId w:val="30"/>
        </w:numPr>
        <w:spacing w:before="0" w:after="0"/>
        <w:rPr>
          <w:sz w:val="22"/>
          <w:szCs w:val="22"/>
        </w:rPr>
      </w:pPr>
      <w:r w:rsidRPr="00AB6BB4">
        <w:rPr>
          <w:sz w:val="22"/>
          <w:szCs w:val="22"/>
        </w:rPr>
        <w:t xml:space="preserve">According to the Australian Institute of Health and Welfare (AIHW), </w:t>
      </w:r>
      <w:r>
        <w:rPr>
          <w:sz w:val="22"/>
          <w:szCs w:val="22"/>
        </w:rPr>
        <w:t>i</w:t>
      </w:r>
      <w:r w:rsidRPr="00AB6BB4">
        <w:rPr>
          <w:sz w:val="22"/>
          <w:szCs w:val="22"/>
        </w:rPr>
        <w:t>n 2018–19:</w:t>
      </w:r>
    </w:p>
    <w:p w14:paraId="5AC5DE69" w14:textId="77777777" w:rsidR="00AB6BB4" w:rsidRPr="00AB6BB4" w:rsidRDefault="003F6E10" w:rsidP="003F6E10">
      <w:pPr>
        <w:pStyle w:val="ListParagraph"/>
        <w:numPr>
          <w:ilvl w:val="1"/>
          <w:numId w:val="30"/>
        </w:numPr>
        <w:spacing w:before="0" w:after="0"/>
        <w:rPr>
          <w:sz w:val="22"/>
          <w:szCs w:val="22"/>
        </w:rPr>
      </w:pPr>
      <w:r>
        <w:rPr>
          <w:sz w:val="22"/>
          <w:szCs w:val="22"/>
        </w:rPr>
        <w:t>“</w:t>
      </w:r>
      <w:r w:rsidR="00AB6BB4" w:rsidRPr="00AB6BB4">
        <w:rPr>
          <w:sz w:val="22"/>
          <w:szCs w:val="22"/>
        </w:rPr>
        <w:t xml:space="preserve">1 in 5 (20%) Indigenous households were living in dwellings that did not meet an acceptable standard – defined in the </w:t>
      </w:r>
      <w:r w:rsidRPr="003F6E10">
        <w:rPr>
          <w:sz w:val="22"/>
          <w:szCs w:val="22"/>
        </w:rPr>
        <w:t xml:space="preserve">National Aboriginal and Torres Strait Islander Health Survey </w:t>
      </w:r>
      <w:r>
        <w:rPr>
          <w:sz w:val="22"/>
          <w:szCs w:val="22"/>
        </w:rPr>
        <w:t>(</w:t>
      </w:r>
      <w:r w:rsidR="00AB6BB4" w:rsidRPr="00AB6BB4">
        <w:rPr>
          <w:sz w:val="22"/>
          <w:szCs w:val="22"/>
        </w:rPr>
        <w:t>NATSIHS</w:t>
      </w:r>
      <w:r>
        <w:rPr>
          <w:sz w:val="22"/>
          <w:szCs w:val="22"/>
        </w:rPr>
        <w:t>)</w:t>
      </w:r>
      <w:r w:rsidR="00AB6BB4" w:rsidRPr="00AB6BB4">
        <w:rPr>
          <w:sz w:val="22"/>
          <w:szCs w:val="22"/>
        </w:rPr>
        <w:t xml:space="preserve"> as having at least 1 basic household facility that was unavailable or having more than 2 major structural problems</w:t>
      </w:r>
    </w:p>
    <w:p w14:paraId="73F24E57" w14:textId="77777777" w:rsidR="00AB6BB4" w:rsidRPr="00AB6BB4" w:rsidRDefault="00AB6BB4" w:rsidP="00AB6BB4">
      <w:pPr>
        <w:pStyle w:val="ListParagraph"/>
        <w:numPr>
          <w:ilvl w:val="1"/>
          <w:numId w:val="30"/>
        </w:numPr>
        <w:spacing w:before="0" w:after="0"/>
        <w:rPr>
          <w:sz w:val="22"/>
          <w:szCs w:val="22"/>
        </w:rPr>
      </w:pPr>
      <w:r w:rsidRPr="00AB6BB4">
        <w:rPr>
          <w:sz w:val="22"/>
          <w:szCs w:val="22"/>
        </w:rPr>
        <w:t xml:space="preserve">33% of Indigenous households were living in dwellings with at least 1 major structural problem. Indigenous households in remote areas were more likely to live in dwellings with structural problems than those in non-remote areas (46% and 31%, respectively) </w:t>
      </w:r>
    </w:p>
    <w:p w14:paraId="31B44489" w14:textId="77777777" w:rsidR="00AB6BB4" w:rsidRDefault="00AB6BB4" w:rsidP="00AB6BB4">
      <w:pPr>
        <w:pStyle w:val="ListParagraph"/>
        <w:numPr>
          <w:ilvl w:val="1"/>
          <w:numId w:val="30"/>
        </w:numPr>
        <w:spacing w:before="0" w:after="0"/>
        <w:rPr>
          <w:sz w:val="22"/>
          <w:szCs w:val="22"/>
        </w:rPr>
      </w:pPr>
      <w:r w:rsidRPr="00AB6BB4">
        <w:rPr>
          <w:sz w:val="22"/>
          <w:szCs w:val="22"/>
        </w:rPr>
        <w:t>9.1% of Indigenous households had no access to working facilities for food preparation, 4.5% had no access to working facilities to wash clothes and bedding and 2.8% had no access to working facilities to wash household residents (AIHW &amp; NIAA 2020).</w:t>
      </w:r>
      <w:r w:rsidR="003F6E10">
        <w:rPr>
          <w:sz w:val="22"/>
          <w:szCs w:val="22"/>
        </w:rPr>
        <w:t>”</w:t>
      </w:r>
    </w:p>
    <w:p w14:paraId="6BB60905" w14:textId="77777777" w:rsidR="00AB6BB4" w:rsidRDefault="00AB6BB4" w:rsidP="00AB6BB4">
      <w:pPr>
        <w:spacing w:before="0" w:after="0"/>
        <w:rPr>
          <w:sz w:val="22"/>
          <w:szCs w:val="22"/>
        </w:rPr>
      </w:pPr>
    </w:p>
    <w:p w14:paraId="4184E912" w14:textId="77777777" w:rsidR="00AB6BB4" w:rsidRPr="00AB6BB4" w:rsidRDefault="00AB6BB4" w:rsidP="00AB6BB4">
      <w:pPr>
        <w:spacing w:before="0" w:after="0"/>
        <w:rPr>
          <w:sz w:val="22"/>
          <w:szCs w:val="22"/>
        </w:rPr>
      </w:pPr>
    </w:p>
    <w:p w14:paraId="22EE32E1" w14:textId="77777777" w:rsidR="003F05B9" w:rsidRPr="0043133D" w:rsidRDefault="003F05B9" w:rsidP="003F05B9">
      <w:pPr>
        <w:spacing w:before="0" w:after="0"/>
        <w:ind w:left="360"/>
        <w:rPr>
          <w:sz w:val="22"/>
          <w:szCs w:val="22"/>
          <w:highlight w:val="yellow"/>
        </w:rPr>
      </w:pPr>
    </w:p>
    <w:p w14:paraId="2722A553" w14:textId="77777777" w:rsidR="003F05B9" w:rsidRPr="0043133D" w:rsidRDefault="003F05B9" w:rsidP="003F05B9">
      <w:pPr>
        <w:spacing w:before="0" w:after="0"/>
        <w:ind w:left="360"/>
        <w:rPr>
          <w:sz w:val="22"/>
          <w:szCs w:val="22"/>
          <w:highlight w:val="yellow"/>
        </w:rPr>
      </w:pPr>
    </w:p>
    <w:p w14:paraId="772D34D8" w14:textId="77777777" w:rsidR="00F60312" w:rsidRPr="0061412D" w:rsidRDefault="00F60312" w:rsidP="00F60312">
      <w:pPr>
        <w:rPr>
          <w:b/>
          <w:color w:val="008000"/>
          <w:sz w:val="32"/>
        </w:rPr>
      </w:pPr>
      <w:r w:rsidRPr="0061412D">
        <w:rPr>
          <w:b/>
          <w:color w:val="008000"/>
          <w:sz w:val="32"/>
        </w:rPr>
        <w:t xml:space="preserve">Bedroom Mix </w:t>
      </w:r>
    </w:p>
    <w:p w14:paraId="1C513E8D" w14:textId="77777777" w:rsidR="0061412D" w:rsidRDefault="0061412D" w:rsidP="0061412D">
      <w:pPr>
        <w:numPr>
          <w:ilvl w:val="0"/>
          <w:numId w:val="14"/>
        </w:numPr>
        <w:spacing w:before="0" w:after="0"/>
        <w:rPr>
          <w:sz w:val="22"/>
          <w:szCs w:val="22"/>
        </w:rPr>
      </w:pPr>
      <w:r>
        <w:rPr>
          <w:sz w:val="22"/>
          <w:szCs w:val="22"/>
        </w:rPr>
        <w:t>As well as a lack of diversity in dwelling type, the region (and the Rest of NSW generally) has little variation in the number of bedrooms per dwelling, with 4</w:t>
      </w:r>
      <w:r w:rsidR="00D5426A">
        <w:rPr>
          <w:sz w:val="22"/>
          <w:szCs w:val="22"/>
        </w:rPr>
        <w:t>6.8</w:t>
      </w:r>
      <w:r>
        <w:rPr>
          <w:sz w:val="22"/>
          <w:szCs w:val="22"/>
        </w:rPr>
        <w:t xml:space="preserve">% of dwellings having three bedrooms and a further </w:t>
      </w:r>
      <w:r w:rsidR="00D5426A">
        <w:rPr>
          <w:sz w:val="22"/>
          <w:szCs w:val="22"/>
        </w:rPr>
        <w:t>26.6</w:t>
      </w:r>
      <w:r>
        <w:rPr>
          <w:sz w:val="22"/>
          <w:szCs w:val="22"/>
        </w:rPr>
        <w:t>% having four or more bedrooms.  Only 0.</w:t>
      </w:r>
      <w:r w:rsidR="00D5426A">
        <w:rPr>
          <w:sz w:val="22"/>
          <w:szCs w:val="22"/>
        </w:rPr>
        <w:t>5</w:t>
      </w:r>
      <w:r>
        <w:rPr>
          <w:sz w:val="22"/>
          <w:szCs w:val="22"/>
        </w:rPr>
        <w:t xml:space="preserve">% of homes are studios, </w:t>
      </w:r>
      <w:r w:rsidR="00D5426A">
        <w:rPr>
          <w:sz w:val="22"/>
          <w:szCs w:val="22"/>
        </w:rPr>
        <w:t>5.1</w:t>
      </w:r>
      <w:r>
        <w:rPr>
          <w:sz w:val="22"/>
          <w:szCs w:val="22"/>
        </w:rPr>
        <w:t>% have one bedroom and 1</w:t>
      </w:r>
      <w:r w:rsidR="00D5426A">
        <w:rPr>
          <w:sz w:val="22"/>
          <w:szCs w:val="22"/>
        </w:rPr>
        <w:t>7.9</w:t>
      </w:r>
      <w:r>
        <w:rPr>
          <w:sz w:val="22"/>
          <w:szCs w:val="22"/>
        </w:rPr>
        <w:t xml:space="preserve">% have two bedrooms in </w:t>
      </w:r>
      <w:r w:rsidR="00116C6A">
        <w:rPr>
          <w:sz w:val="22"/>
          <w:szCs w:val="22"/>
        </w:rPr>
        <w:t>the Far West</w:t>
      </w:r>
      <w:r>
        <w:rPr>
          <w:sz w:val="22"/>
          <w:szCs w:val="22"/>
        </w:rPr>
        <w:t>.</w:t>
      </w:r>
    </w:p>
    <w:p w14:paraId="73D97944" w14:textId="77777777" w:rsidR="0061412D" w:rsidRDefault="0061412D" w:rsidP="0061412D">
      <w:pPr>
        <w:numPr>
          <w:ilvl w:val="0"/>
          <w:numId w:val="14"/>
        </w:numPr>
        <w:spacing w:before="0" w:after="0"/>
        <w:rPr>
          <w:sz w:val="22"/>
          <w:szCs w:val="22"/>
        </w:rPr>
      </w:pPr>
      <w:r>
        <w:rPr>
          <w:sz w:val="22"/>
          <w:szCs w:val="22"/>
        </w:rPr>
        <w:t>This compares to 0.5% of studio homes, 4.0% one bedroom and 17.3% two bedroom in the Rest of NSW</w:t>
      </w:r>
      <w:r w:rsidR="00D5426A">
        <w:rPr>
          <w:sz w:val="22"/>
          <w:szCs w:val="22"/>
        </w:rPr>
        <w:t xml:space="preserve"> – so the Far West has higher proportions of one and two bedroom homes than the average for the Rest of NSW</w:t>
      </w:r>
      <w:r>
        <w:rPr>
          <w:sz w:val="22"/>
          <w:szCs w:val="22"/>
        </w:rPr>
        <w:t xml:space="preserve">.  </w:t>
      </w:r>
    </w:p>
    <w:p w14:paraId="790E21EE" w14:textId="77777777" w:rsidR="0061412D" w:rsidRDefault="0061412D" w:rsidP="0061412D">
      <w:pPr>
        <w:numPr>
          <w:ilvl w:val="0"/>
          <w:numId w:val="14"/>
        </w:numPr>
        <w:spacing w:before="0" w:after="0"/>
        <w:rPr>
          <w:sz w:val="22"/>
          <w:szCs w:val="22"/>
        </w:rPr>
      </w:pPr>
      <w:r>
        <w:rPr>
          <w:sz w:val="22"/>
          <w:szCs w:val="22"/>
        </w:rPr>
        <w:t xml:space="preserve">Within the region, </w:t>
      </w:r>
    </w:p>
    <w:p w14:paraId="2E38ADF5" w14:textId="77777777" w:rsidR="0061412D" w:rsidRDefault="0012091D" w:rsidP="0061412D">
      <w:pPr>
        <w:numPr>
          <w:ilvl w:val="1"/>
          <w:numId w:val="14"/>
        </w:numPr>
        <w:spacing w:before="0" w:after="0"/>
        <w:rPr>
          <w:sz w:val="22"/>
          <w:szCs w:val="22"/>
        </w:rPr>
      </w:pPr>
      <w:r>
        <w:rPr>
          <w:sz w:val="22"/>
          <w:szCs w:val="22"/>
        </w:rPr>
        <w:t>Central Darling and Walgett</w:t>
      </w:r>
      <w:r w:rsidR="0061412D">
        <w:rPr>
          <w:sz w:val="22"/>
          <w:szCs w:val="22"/>
        </w:rPr>
        <w:t xml:space="preserve"> ha</w:t>
      </w:r>
      <w:r>
        <w:rPr>
          <w:sz w:val="22"/>
          <w:szCs w:val="22"/>
        </w:rPr>
        <w:t>d</w:t>
      </w:r>
      <w:r w:rsidR="0061412D">
        <w:rPr>
          <w:sz w:val="22"/>
          <w:szCs w:val="22"/>
        </w:rPr>
        <w:t xml:space="preserve"> the highest proportion of studio dwellings with </w:t>
      </w:r>
      <w:r>
        <w:rPr>
          <w:sz w:val="22"/>
          <w:szCs w:val="22"/>
        </w:rPr>
        <w:t>1.7</w:t>
      </w:r>
      <w:r w:rsidR="0061412D">
        <w:rPr>
          <w:sz w:val="22"/>
          <w:szCs w:val="22"/>
        </w:rPr>
        <w:t xml:space="preserve">% and </w:t>
      </w:r>
      <w:r>
        <w:rPr>
          <w:sz w:val="22"/>
          <w:szCs w:val="22"/>
        </w:rPr>
        <w:t>Bourke and Brewarrina</w:t>
      </w:r>
      <w:r w:rsidR="0061412D">
        <w:rPr>
          <w:sz w:val="22"/>
          <w:szCs w:val="22"/>
        </w:rPr>
        <w:t xml:space="preserve"> the lowest with 0.0%; </w:t>
      </w:r>
    </w:p>
    <w:p w14:paraId="4F766BA4" w14:textId="77777777" w:rsidR="0061412D" w:rsidRDefault="0012091D" w:rsidP="0061412D">
      <w:pPr>
        <w:numPr>
          <w:ilvl w:val="1"/>
          <w:numId w:val="14"/>
        </w:numPr>
        <w:spacing w:before="0" w:after="0"/>
        <w:rPr>
          <w:sz w:val="22"/>
          <w:szCs w:val="22"/>
        </w:rPr>
      </w:pPr>
      <w:r>
        <w:rPr>
          <w:sz w:val="22"/>
          <w:szCs w:val="22"/>
        </w:rPr>
        <w:t>Walgett</w:t>
      </w:r>
      <w:r w:rsidR="0061412D">
        <w:rPr>
          <w:sz w:val="22"/>
          <w:szCs w:val="22"/>
        </w:rPr>
        <w:t xml:space="preserve"> has the highest proportion of one bedroom homes with </w:t>
      </w:r>
      <w:r>
        <w:rPr>
          <w:sz w:val="22"/>
          <w:szCs w:val="22"/>
        </w:rPr>
        <w:t>11.8</w:t>
      </w:r>
      <w:r w:rsidR="0061412D">
        <w:rPr>
          <w:sz w:val="22"/>
          <w:szCs w:val="22"/>
        </w:rPr>
        <w:t xml:space="preserve">% and </w:t>
      </w:r>
      <w:r>
        <w:rPr>
          <w:sz w:val="22"/>
          <w:szCs w:val="22"/>
        </w:rPr>
        <w:t>Balranald</w:t>
      </w:r>
      <w:r w:rsidR="0061412D">
        <w:rPr>
          <w:sz w:val="22"/>
          <w:szCs w:val="22"/>
        </w:rPr>
        <w:t xml:space="preserve"> the lowest with </w:t>
      </w:r>
      <w:r>
        <w:rPr>
          <w:sz w:val="22"/>
          <w:szCs w:val="22"/>
        </w:rPr>
        <w:t>3.1</w:t>
      </w:r>
      <w:r w:rsidR="0061412D">
        <w:rPr>
          <w:sz w:val="22"/>
          <w:szCs w:val="22"/>
        </w:rPr>
        <w:t>%;</w:t>
      </w:r>
    </w:p>
    <w:p w14:paraId="0D0C520A" w14:textId="77777777" w:rsidR="0061412D" w:rsidRDefault="0012091D" w:rsidP="0061412D">
      <w:pPr>
        <w:numPr>
          <w:ilvl w:val="1"/>
          <w:numId w:val="14"/>
        </w:numPr>
        <w:spacing w:before="0" w:after="0"/>
        <w:rPr>
          <w:sz w:val="22"/>
          <w:szCs w:val="22"/>
        </w:rPr>
      </w:pPr>
      <w:r>
        <w:rPr>
          <w:sz w:val="22"/>
          <w:szCs w:val="22"/>
        </w:rPr>
        <w:t>Walgett</w:t>
      </w:r>
      <w:r w:rsidR="0061412D">
        <w:rPr>
          <w:sz w:val="22"/>
          <w:szCs w:val="22"/>
        </w:rPr>
        <w:t xml:space="preserve"> has the highest propor</w:t>
      </w:r>
      <w:r>
        <w:rPr>
          <w:sz w:val="22"/>
          <w:szCs w:val="22"/>
        </w:rPr>
        <w:t>tion of two bedroom homes with 22.4</w:t>
      </w:r>
      <w:r w:rsidR="0061412D">
        <w:rPr>
          <w:sz w:val="22"/>
          <w:szCs w:val="22"/>
        </w:rPr>
        <w:t xml:space="preserve">% and </w:t>
      </w:r>
      <w:r>
        <w:rPr>
          <w:sz w:val="22"/>
          <w:szCs w:val="22"/>
        </w:rPr>
        <w:t>Cobar</w:t>
      </w:r>
      <w:r w:rsidR="0061412D">
        <w:rPr>
          <w:sz w:val="22"/>
          <w:szCs w:val="22"/>
        </w:rPr>
        <w:t xml:space="preserve"> the lowest with 1</w:t>
      </w:r>
      <w:r>
        <w:rPr>
          <w:sz w:val="22"/>
          <w:szCs w:val="22"/>
        </w:rPr>
        <w:t>1.6</w:t>
      </w:r>
      <w:r w:rsidR="0061412D">
        <w:rPr>
          <w:sz w:val="22"/>
          <w:szCs w:val="22"/>
        </w:rPr>
        <w:t>%;</w:t>
      </w:r>
    </w:p>
    <w:p w14:paraId="2CB40CD8" w14:textId="77777777" w:rsidR="0061412D" w:rsidRDefault="0012091D" w:rsidP="0061412D">
      <w:pPr>
        <w:numPr>
          <w:ilvl w:val="1"/>
          <w:numId w:val="14"/>
        </w:numPr>
        <w:spacing w:before="0" w:after="0"/>
        <w:rPr>
          <w:sz w:val="22"/>
          <w:szCs w:val="22"/>
        </w:rPr>
      </w:pPr>
      <w:r>
        <w:rPr>
          <w:sz w:val="22"/>
          <w:szCs w:val="22"/>
        </w:rPr>
        <w:t>Broken H</w:t>
      </w:r>
      <w:r w:rsidR="00320E17">
        <w:rPr>
          <w:sz w:val="22"/>
          <w:szCs w:val="22"/>
        </w:rPr>
        <w:t>i</w:t>
      </w:r>
      <w:r>
        <w:rPr>
          <w:sz w:val="22"/>
          <w:szCs w:val="22"/>
        </w:rPr>
        <w:t>ll</w:t>
      </w:r>
      <w:r w:rsidR="0061412D">
        <w:rPr>
          <w:sz w:val="22"/>
          <w:szCs w:val="22"/>
        </w:rPr>
        <w:t xml:space="preserve"> has the highest proportion of three bedroom homes with </w:t>
      </w:r>
      <w:r>
        <w:rPr>
          <w:sz w:val="22"/>
          <w:szCs w:val="22"/>
        </w:rPr>
        <w:t>5</w:t>
      </w:r>
      <w:r w:rsidR="0061412D">
        <w:rPr>
          <w:sz w:val="22"/>
          <w:szCs w:val="22"/>
        </w:rPr>
        <w:t>4.</w:t>
      </w:r>
      <w:r>
        <w:rPr>
          <w:sz w:val="22"/>
          <w:szCs w:val="22"/>
        </w:rPr>
        <w:t>1</w:t>
      </w:r>
      <w:r w:rsidR="0061412D">
        <w:rPr>
          <w:sz w:val="22"/>
          <w:szCs w:val="22"/>
        </w:rPr>
        <w:t xml:space="preserve">% and </w:t>
      </w:r>
      <w:r>
        <w:rPr>
          <w:sz w:val="22"/>
          <w:szCs w:val="22"/>
        </w:rPr>
        <w:t xml:space="preserve">Unincorporated NSW </w:t>
      </w:r>
      <w:r w:rsidR="0061412D">
        <w:rPr>
          <w:sz w:val="22"/>
          <w:szCs w:val="22"/>
        </w:rPr>
        <w:t>the lowest with 3</w:t>
      </w:r>
      <w:r>
        <w:rPr>
          <w:sz w:val="22"/>
          <w:szCs w:val="22"/>
        </w:rPr>
        <w:t>4.8</w:t>
      </w:r>
      <w:r w:rsidR="0061412D">
        <w:rPr>
          <w:sz w:val="22"/>
          <w:szCs w:val="22"/>
        </w:rPr>
        <w:t>%; and</w:t>
      </w:r>
    </w:p>
    <w:p w14:paraId="125D91B0" w14:textId="77777777" w:rsidR="0061412D" w:rsidRPr="009756C3" w:rsidRDefault="0012091D" w:rsidP="0061412D">
      <w:pPr>
        <w:numPr>
          <w:ilvl w:val="1"/>
          <w:numId w:val="14"/>
        </w:numPr>
        <w:spacing w:before="0" w:after="0"/>
        <w:rPr>
          <w:sz w:val="22"/>
          <w:szCs w:val="22"/>
        </w:rPr>
      </w:pPr>
      <w:r>
        <w:rPr>
          <w:sz w:val="22"/>
          <w:szCs w:val="22"/>
        </w:rPr>
        <w:t>Unincorporated NSW</w:t>
      </w:r>
      <w:r w:rsidR="0061412D">
        <w:rPr>
          <w:sz w:val="22"/>
          <w:szCs w:val="22"/>
        </w:rPr>
        <w:t xml:space="preserve"> has the highest proportion of four or more bedroom homes with </w:t>
      </w:r>
      <w:r>
        <w:rPr>
          <w:sz w:val="22"/>
          <w:szCs w:val="22"/>
        </w:rPr>
        <w:t>38.0</w:t>
      </w:r>
      <w:r w:rsidR="0061412D">
        <w:rPr>
          <w:sz w:val="22"/>
          <w:szCs w:val="22"/>
        </w:rPr>
        <w:t xml:space="preserve">% and </w:t>
      </w:r>
      <w:r>
        <w:rPr>
          <w:sz w:val="22"/>
          <w:szCs w:val="22"/>
        </w:rPr>
        <w:t>Broken Hill</w:t>
      </w:r>
      <w:r w:rsidR="0061412D">
        <w:rPr>
          <w:sz w:val="22"/>
          <w:szCs w:val="22"/>
        </w:rPr>
        <w:t xml:space="preserve"> the lowest with </w:t>
      </w:r>
      <w:r>
        <w:rPr>
          <w:sz w:val="22"/>
          <w:szCs w:val="22"/>
        </w:rPr>
        <w:t>1</w:t>
      </w:r>
      <w:r w:rsidR="0061412D">
        <w:rPr>
          <w:sz w:val="22"/>
          <w:szCs w:val="22"/>
        </w:rPr>
        <w:t>9.9%.</w:t>
      </w:r>
    </w:p>
    <w:p w14:paraId="2AAAD0E6" w14:textId="77777777" w:rsidR="0061412D" w:rsidRDefault="0061412D" w:rsidP="0061412D">
      <w:pPr>
        <w:numPr>
          <w:ilvl w:val="0"/>
          <w:numId w:val="14"/>
        </w:numPr>
        <w:spacing w:before="0" w:after="0"/>
        <w:rPr>
          <w:sz w:val="22"/>
          <w:szCs w:val="22"/>
        </w:rPr>
      </w:pPr>
      <w:r w:rsidRPr="002478C2">
        <w:rPr>
          <w:sz w:val="22"/>
          <w:szCs w:val="22"/>
        </w:rPr>
        <w:t xml:space="preserve">The graph </w:t>
      </w:r>
      <w:r w:rsidR="00E8525B">
        <w:rPr>
          <w:sz w:val="22"/>
          <w:szCs w:val="22"/>
        </w:rPr>
        <w:t xml:space="preserve">and table </w:t>
      </w:r>
      <w:r w:rsidRPr="002478C2">
        <w:rPr>
          <w:sz w:val="22"/>
          <w:szCs w:val="22"/>
        </w:rPr>
        <w:t xml:space="preserve">below show the proportion of studio, one, two, three and four or more bedroom occupied dwellings in the </w:t>
      </w:r>
      <w:r w:rsidR="00320E17">
        <w:rPr>
          <w:sz w:val="22"/>
          <w:szCs w:val="22"/>
        </w:rPr>
        <w:t>Far West</w:t>
      </w:r>
      <w:r w:rsidRPr="002478C2">
        <w:rPr>
          <w:sz w:val="22"/>
          <w:szCs w:val="22"/>
        </w:rPr>
        <w:t xml:space="preserve"> at the 20</w:t>
      </w:r>
      <w:r>
        <w:rPr>
          <w:sz w:val="22"/>
          <w:szCs w:val="22"/>
        </w:rPr>
        <w:t>21</w:t>
      </w:r>
      <w:r w:rsidRPr="002478C2">
        <w:rPr>
          <w:sz w:val="22"/>
          <w:szCs w:val="22"/>
        </w:rPr>
        <w:t xml:space="preserve"> Census.</w:t>
      </w:r>
    </w:p>
    <w:p w14:paraId="761CD7BA" w14:textId="77777777" w:rsidR="004B45BD" w:rsidRDefault="004B45BD" w:rsidP="004B45BD">
      <w:pPr>
        <w:spacing w:before="0" w:after="0"/>
        <w:rPr>
          <w:sz w:val="22"/>
          <w:szCs w:val="22"/>
        </w:rPr>
      </w:pPr>
    </w:p>
    <w:p w14:paraId="4B8CE20C" w14:textId="77777777" w:rsidR="004B45BD" w:rsidRDefault="004B45BD" w:rsidP="004B45BD">
      <w:pPr>
        <w:spacing w:before="0" w:after="0"/>
        <w:rPr>
          <w:sz w:val="22"/>
          <w:szCs w:val="22"/>
        </w:rPr>
      </w:pPr>
      <w:r>
        <w:rPr>
          <w:noProof/>
          <w:sz w:val="22"/>
          <w:szCs w:val="22"/>
        </w:rPr>
        <w:lastRenderedPageBreak/>
        <w:drawing>
          <wp:inline distT="0" distB="0" distL="0" distR="0" wp14:anchorId="1022771A" wp14:editId="153FDD97">
            <wp:extent cx="6010910" cy="3499485"/>
            <wp:effectExtent l="0" t="0" r="889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3499485"/>
                    </a:xfrm>
                    <a:prstGeom prst="rect">
                      <a:avLst/>
                    </a:prstGeom>
                    <a:noFill/>
                  </pic:spPr>
                </pic:pic>
              </a:graphicData>
            </a:graphic>
          </wp:inline>
        </w:drawing>
      </w:r>
    </w:p>
    <w:p w14:paraId="76C8BA5A" w14:textId="77777777" w:rsidR="004B45BD" w:rsidRDefault="004B45BD" w:rsidP="004B45BD">
      <w:pPr>
        <w:spacing w:before="0" w:after="0"/>
        <w:rPr>
          <w:sz w:val="22"/>
          <w:szCs w:val="22"/>
        </w:rPr>
      </w:pPr>
    </w:p>
    <w:p w14:paraId="0DA2004A" w14:textId="77777777" w:rsidR="00A123D0" w:rsidRDefault="00A123D0" w:rsidP="004B45BD">
      <w:pPr>
        <w:spacing w:before="0" w:after="0"/>
        <w:rPr>
          <w:sz w:val="22"/>
          <w:szCs w:val="22"/>
        </w:rPr>
      </w:pPr>
    </w:p>
    <w:p w14:paraId="1AF1D873" w14:textId="77777777" w:rsidR="00A123D0" w:rsidRDefault="00A123D0" w:rsidP="004B45BD">
      <w:pPr>
        <w:spacing w:before="0" w:after="0"/>
        <w:rPr>
          <w:sz w:val="22"/>
          <w:szCs w:val="22"/>
        </w:rPr>
      </w:pPr>
      <w:r w:rsidRPr="00A123D0">
        <w:rPr>
          <w:noProof/>
        </w:rPr>
        <w:drawing>
          <wp:inline distT="0" distB="0" distL="0" distR="0" wp14:anchorId="4E24A5B9" wp14:editId="6EF68910">
            <wp:extent cx="5477858" cy="25527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537" cy="2554415"/>
                    </a:xfrm>
                    <a:prstGeom prst="rect">
                      <a:avLst/>
                    </a:prstGeom>
                    <a:noFill/>
                    <a:ln>
                      <a:noFill/>
                    </a:ln>
                  </pic:spPr>
                </pic:pic>
              </a:graphicData>
            </a:graphic>
          </wp:inline>
        </w:drawing>
      </w:r>
    </w:p>
    <w:p w14:paraId="4B0964C8" w14:textId="77777777" w:rsidR="00A123D0" w:rsidRDefault="00A123D0" w:rsidP="004B45BD">
      <w:pPr>
        <w:spacing w:before="0" w:after="0"/>
        <w:rPr>
          <w:sz w:val="22"/>
          <w:szCs w:val="22"/>
        </w:rPr>
      </w:pPr>
    </w:p>
    <w:p w14:paraId="426C1E8E" w14:textId="77777777" w:rsidR="005C52FF" w:rsidRDefault="003F684C" w:rsidP="00150EE8">
      <w:pPr>
        <w:numPr>
          <w:ilvl w:val="0"/>
          <w:numId w:val="16"/>
        </w:numPr>
        <w:spacing w:before="0" w:after="0"/>
        <w:rPr>
          <w:sz w:val="22"/>
          <w:szCs w:val="22"/>
        </w:rPr>
      </w:pPr>
      <w:r>
        <w:rPr>
          <w:sz w:val="22"/>
          <w:szCs w:val="22"/>
        </w:rPr>
        <w:t>I</w:t>
      </w:r>
      <w:r w:rsidR="00150EE8" w:rsidRPr="006D3491">
        <w:rPr>
          <w:sz w:val="22"/>
          <w:szCs w:val="22"/>
        </w:rPr>
        <w:t xml:space="preserve">deally there should be </w:t>
      </w:r>
      <w:r w:rsidR="00150EE8">
        <w:rPr>
          <w:sz w:val="22"/>
          <w:szCs w:val="22"/>
        </w:rPr>
        <w:t xml:space="preserve">a closer match between </w:t>
      </w:r>
      <w:r w:rsidR="00150EE8" w:rsidRPr="006D3491">
        <w:rPr>
          <w:sz w:val="22"/>
          <w:szCs w:val="22"/>
        </w:rPr>
        <w:t xml:space="preserve">household </w:t>
      </w:r>
      <w:r w:rsidR="00150EE8">
        <w:rPr>
          <w:sz w:val="22"/>
          <w:szCs w:val="22"/>
        </w:rPr>
        <w:t>size and bedroom number to</w:t>
      </w:r>
      <w:r w:rsidR="00150EE8" w:rsidRPr="006D3491">
        <w:rPr>
          <w:sz w:val="22"/>
          <w:szCs w:val="22"/>
        </w:rPr>
        <w:t xml:space="preserve"> offer some housing choice</w:t>
      </w:r>
      <w:r w:rsidR="00150EE8">
        <w:rPr>
          <w:sz w:val="22"/>
          <w:szCs w:val="22"/>
        </w:rPr>
        <w:t xml:space="preserve"> for residents</w:t>
      </w:r>
      <w:r w:rsidR="00150EE8" w:rsidRPr="006D3491">
        <w:rPr>
          <w:sz w:val="22"/>
          <w:szCs w:val="22"/>
        </w:rPr>
        <w:t xml:space="preserve">.  </w:t>
      </w:r>
      <w:r w:rsidR="005C52FF">
        <w:rPr>
          <w:sz w:val="22"/>
          <w:szCs w:val="22"/>
        </w:rPr>
        <w:t>At the 2021 Census, 47.0% of all households were single person or couple households.</w:t>
      </w:r>
    </w:p>
    <w:p w14:paraId="48DCF584" w14:textId="77777777" w:rsidR="00150EE8" w:rsidRPr="006D3491" w:rsidRDefault="00150EE8" w:rsidP="00150EE8">
      <w:pPr>
        <w:numPr>
          <w:ilvl w:val="0"/>
          <w:numId w:val="16"/>
        </w:numPr>
        <w:spacing w:before="0" w:after="0"/>
        <w:rPr>
          <w:sz w:val="22"/>
          <w:szCs w:val="22"/>
        </w:rPr>
      </w:pPr>
      <w:r>
        <w:rPr>
          <w:sz w:val="22"/>
          <w:szCs w:val="22"/>
        </w:rPr>
        <w:t xml:space="preserve">The forecast increase in older age groups in the Far West means that there is likely to be more demand for smaller, more manageable dwellings.  </w:t>
      </w:r>
      <w:r w:rsidRPr="006D3491">
        <w:rPr>
          <w:sz w:val="22"/>
          <w:szCs w:val="22"/>
        </w:rPr>
        <w:t>Two bedroom dwellings in particular offer the most flexibility, given they are also suitable for small families</w:t>
      </w:r>
      <w:r>
        <w:rPr>
          <w:sz w:val="22"/>
          <w:szCs w:val="22"/>
        </w:rPr>
        <w:t xml:space="preserve"> and allow older residents to have family members or carers to stay while giving them a more manageable size home to maintain</w:t>
      </w:r>
      <w:r w:rsidRPr="006D3491">
        <w:rPr>
          <w:sz w:val="22"/>
          <w:szCs w:val="22"/>
        </w:rPr>
        <w:t>.</w:t>
      </w:r>
    </w:p>
    <w:p w14:paraId="5FC3B12D" w14:textId="77777777" w:rsidR="00F60312" w:rsidRDefault="00F60312" w:rsidP="00F60312">
      <w:pPr>
        <w:rPr>
          <w:sz w:val="22"/>
          <w:szCs w:val="22"/>
          <w:highlight w:val="yellow"/>
        </w:rPr>
      </w:pPr>
    </w:p>
    <w:p w14:paraId="7170FE96" w14:textId="77777777" w:rsidR="00B3125D" w:rsidRPr="0043133D" w:rsidRDefault="00B3125D" w:rsidP="00F60312">
      <w:pPr>
        <w:rPr>
          <w:sz w:val="22"/>
          <w:szCs w:val="22"/>
          <w:highlight w:val="yellow"/>
        </w:rPr>
      </w:pPr>
    </w:p>
    <w:p w14:paraId="16E3A845" w14:textId="77777777" w:rsidR="00F60312" w:rsidRPr="001C6D8B" w:rsidRDefault="00F60312" w:rsidP="00F60312">
      <w:pPr>
        <w:rPr>
          <w:b/>
          <w:color w:val="008000"/>
          <w:sz w:val="32"/>
        </w:rPr>
      </w:pPr>
      <w:r w:rsidRPr="001C6D8B">
        <w:rPr>
          <w:b/>
          <w:color w:val="008000"/>
          <w:sz w:val="32"/>
        </w:rPr>
        <w:t>Tenure</w:t>
      </w:r>
    </w:p>
    <w:p w14:paraId="36BB2892" w14:textId="77777777" w:rsidR="001C6D8B" w:rsidRDefault="001C6D8B" w:rsidP="001C6D8B">
      <w:pPr>
        <w:numPr>
          <w:ilvl w:val="0"/>
          <w:numId w:val="3"/>
        </w:numPr>
        <w:spacing w:before="0" w:after="0"/>
        <w:rPr>
          <w:sz w:val="22"/>
          <w:szCs w:val="22"/>
        </w:rPr>
      </w:pPr>
      <w:r>
        <w:rPr>
          <w:sz w:val="22"/>
          <w:szCs w:val="22"/>
        </w:rPr>
        <w:t xml:space="preserve">At the 2021 Census, the most common tenure type in the </w:t>
      </w:r>
      <w:r w:rsidR="00F61375">
        <w:rPr>
          <w:sz w:val="22"/>
          <w:szCs w:val="22"/>
        </w:rPr>
        <w:t>Far</w:t>
      </w:r>
      <w:r>
        <w:rPr>
          <w:sz w:val="22"/>
          <w:szCs w:val="22"/>
        </w:rPr>
        <w:t xml:space="preserve"> West was households owning their home outright – comprising </w:t>
      </w:r>
      <w:r w:rsidR="00F61375">
        <w:rPr>
          <w:sz w:val="22"/>
          <w:szCs w:val="22"/>
        </w:rPr>
        <w:t>41.7</w:t>
      </w:r>
      <w:r>
        <w:rPr>
          <w:sz w:val="22"/>
          <w:szCs w:val="22"/>
        </w:rPr>
        <w:t>% of all households.  With</w:t>
      </w:r>
      <w:r w:rsidR="00F61375">
        <w:rPr>
          <w:sz w:val="22"/>
          <w:szCs w:val="22"/>
        </w:rPr>
        <w:t>in the region this ranged from 51.2</w:t>
      </w:r>
      <w:r>
        <w:rPr>
          <w:sz w:val="22"/>
          <w:szCs w:val="22"/>
        </w:rPr>
        <w:t xml:space="preserve">% in </w:t>
      </w:r>
      <w:r w:rsidR="00F61375">
        <w:rPr>
          <w:sz w:val="22"/>
          <w:szCs w:val="22"/>
        </w:rPr>
        <w:t>Unincorporated NSW</w:t>
      </w:r>
      <w:r>
        <w:rPr>
          <w:sz w:val="22"/>
          <w:szCs w:val="22"/>
        </w:rPr>
        <w:t xml:space="preserve"> to </w:t>
      </w:r>
      <w:r w:rsidR="00F61375">
        <w:rPr>
          <w:sz w:val="22"/>
          <w:szCs w:val="22"/>
        </w:rPr>
        <w:t>27.7</w:t>
      </w:r>
      <w:r>
        <w:rPr>
          <w:sz w:val="22"/>
          <w:szCs w:val="22"/>
        </w:rPr>
        <w:t xml:space="preserve">% in </w:t>
      </w:r>
      <w:r w:rsidR="00F61375">
        <w:rPr>
          <w:sz w:val="22"/>
          <w:szCs w:val="22"/>
        </w:rPr>
        <w:t>Brewarrina</w:t>
      </w:r>
      <w:r>
        <w:rPr>
          <w:sz w:val="22"/>
          <w:szCs w:val="22"/>
        </w:rPr>
        <w:t>.</w:t>
      </w:r>
    </w:p>
    <w:p w14:paraId="45104A25" w14:textId="77777777" w:rsidR="00F61375" w:rsidRDefault="00731EF8" w:rsidP="001C6D8B">
      <w:pPr>
        <w:numPr>
          <w:ilvl w:val="0"/>
          <w:numId w:val="3"/>
        </w:numPr>
        <w:spacing w:before="0" w:after="0"/>
        <w:rPr>
          <w:sz w:val="22"/>
          <w:szCs w:val="22"/>
        </w:rPr>
      </w:pPr>
      <w:r>
        <w:rPr>
          <w:sz w:val="22"/>
          <w:szCs w:val="22"/>
        </w:rPr>
        <w:t>U</w:t>
      </w:r>
      <w:r w:rsidR="00F61375">
        <w:rPr>
          <w:sz w:val="22"/>
          <w:szCs w:val="22"/>
        </w:rPr>
        <w:t>nlike other parts of NSW</w:t>
      </w:r>
      <w:r w:rsidR="00B6568B">
        <w:rPr>
          <w:sz w:val="22"/>
          <w:szCs w:val="22"/>
        </w:rPr>
        <w:t xml:space="preserve"> where households with a mortgage </w:t>
      </w:r>
      <w:r>
        <w:rPr>
          <w:sz w:val="22"/>
          <w:szCs w:val="22"/>
        </w:rPr>
        <w:t>constitute</w:t>
      </w:r>
      <w:r w:rsidR="00B6568B">
        <w:rPr>
          <w:sz w:val="22"/>
          <w:szCs w:val="22"/>
        </w:rPr>
        <w:t xml:space="preserve"> the second highest proportion of households</w:t>
      </w:r>
      <w:r w:rsidR="00F61375">
        <w:rPr>
          <w:sz w:val="22"/>
          <w:szCs w:val="22"/>
        </w:rPr>
        <w:t xml:space="preserve">, </w:t>
      </w:r>
      <w:r>
        <w:rPr>
          <w:sz w:val="22"/>
          <w:szCs w:val="22"/>
        </w:rPr>
        <w:t xml:space="preserve">in Far West NSW the second largest proportion </w:t>
      </w:r>
      <w:r w:rsidR="00F61375">
        <w:rPr>
          <w:sz w:val="22"/>
          <w:szCs w:val="22"/>
        </w:rPr>
        <w:t>was households renting – comprising 28.2% of all households</w:t>
      </w:r>
      <w:r w:rsidR="00B6568B">
        <w:rPr>
          <w:sz w:val="22"/>
          <w:szCs w:val="22"/>
        </w:rPr>
        <w:t>, with Brewarrina having the highest proportion with 54.4% and Wentworth having the lowest proportion with 21.3%.</w:t>
      </w:r>
      <w:r w:rsidR="00F61375">
        <w:rPr>
          <w:sz w:val="22"/>
          <w:szCs w:val="22"/>
        </w:rPr>
        <w:t xml:space="preserve">  </w:t>
      </w:r>
    </w:p>
    <w:p w14:paraId="1CF956DE" w14:textId="77777777" w:rsidR="00731EF8" w:rsidRDefault="00B6568B" w:rsidP="00731EF8">
      <w:pPr>
        <w:numPr>
          <w:ilvl w:val="0"/>
          <w:numId w:val="3"/>
        </w:numPr>
        <w:spacing w:before="0" w:after="0"/>
        <w:rPr>
          <w:sz w:val="22"/>
          <w:szCs w:val="22"/>
        </w:rPr>
      </w:pPr>
      <w:r>
        <w:rPr>
          <w:sz w:val="22"/>
          <w:szCs w:val="22"/>
        </w:rPr>
        <w:t>Households renting from a real estate agent comprise just 8.3% of all households in the Far West – with Cobar having the highest proportion at 11.2% and Unincorporated NSW the lowest with no households renting though a real estate agent.</w:t>
      </w:r>
      <w:r w:rsidR="00731EF8">
        <w:rPr>
          <w:sz w:val="22"/>
          <w:szCs w:val="22"/>
        </w:rPr>
        <w:t xml:space="preserve">  </w:t>
      </w:r>
    </w:p>
    <w:p w14:paraId="24864BEE" w14:textId="77777777" w:rsidR="00731EF8" w:rsidRDefault="00731EF8" w:rsidP="00731EF8">
      <w:pPr>
        <w:numPr>
          <w:ilvl w:val="0"/>
          <w:numId w:val="3"/>
        </w:numPr>
        <w:spacing w:before="0" w:after="0"/>
        <w:rPr>
          <w:sz w:val="22"/>
          <w:szCs w:val="22"/>
        </w:rPr>
      </w:pPr>
      <w:r>
        <w:rPr>
          <w:sz w:val="22"/>
          <w:szCs w:val="22"/>
        </w:rPr>
        <w:t>The remainder of rental households in the Far West include households renting from the state housing authority (3.6% in the region), community housing providers (2.5%) and other landlords (13.7%).</w:t>
      </w:r>
    </w:p>
    <w:p w14:paraId="4F1BB5AA" w14:textId="77777777" w:rsidR="001C6D8B" w:rsidRPr="00731EF8" w:rsidRDefault="001C6D8B" w:rsidP="00731EF8">
      <w:pPr>
        <w:numPr>
          <w:ilvl w:val="0"/>
          <w:numId w:val="3"/>
        </w:numPr>
        <w:spacing w:before="0" w:after="0"/>
        <w:rPr>
          <w:sz w:val="22"/>
          <w:szCs w:val="22"/>
        </w:rPr>
      </w:pPr>
      <w:r w:rsidRPr="00731EF8">
        <w:rPr>
          <w:sz w:val="22"/>
          <w:szCs w:val="22"/>
        </w:rPr>
        <w:t xml:space="preserve">The next largest tenure type </w:t>
      </w:r>
      <w:r w:rsidR="00731EF8">
        <w:rPr>
          <w:sz w:val="22"/>
          <w:szCs w:val="22"/>
        </w:rPr>
        <w:t xml:space="preserve">in Far West NSW </w:t>
      </w:r>
      <w:r w:rsidRPr="00731EF8">
        <w:rPr>
          <w:sz w:val="22"/>
          <w:szCs w:val="22"/>
        </w:rPr>
        <w:t xml:space="preserve">was households with a mortgage – comprising </w:t>
      </w:r>
      <w:r w:rsidR="00F61375" w:rsidRPr="00731EF8">
        <w:rPr>
          <w:sz w:val="22"/>
          <w:szCs w:val="22"/>
        </w:rPr>
        <w:t>26.3</w:t>
      </w:r>
      <w:r w:rsidRPr="00731EF8">
        <w:rPr>
          <w:sz w:val="22"/>
          <w:szCs w:val="22"/>
        </w:rPr>
        <w:t xml:space="preserve">% of all households.  </w:t>
      </w:r>
      <w:r w:rsidR="00731EF8">
        <w:rPr>
          <w:sz w:val="22"/>
          <w:szCs w:val="22"/>
        </w:rPr>
        <w:t>Within the region t</w:t>
      </w:r>
      <w:r w:rsidRPr="00731EF8">
        <w:rPr>
          <w:sz w:val="22"/>
          <w:szCs w:val="22"/>
        </w:rPr>
        <w:t>he proportion in this tenure ranged from 34.</w:t>
      </w:r>
      <w:r w:rsidR="00B6568B" w:rsidRPr="00731EF8">
        <w:rPr>
          <w:sz w:val="22"/>
          <w:szCs w:val="22"/>
        </w:rPr>
        <w:t>1</w:t>
      </w:r>
      <w:r w:rsidRPr="00731EF8">
        <w:rPr>
          <w:sz w:val="22"/>
          <w:szCs w:val="22"/>
        </w:rPr>
        <w:t xml:space="preserve">% in </w:t>
      </w:r>
      <w:r w:rsidR="00B6568B" w:rsidRPr="00731EF8">
        <w:rPr>
          <w:sz w:val="22"/>
          <w:szCs w:val="22"/>
        </w:rPr>
        <w:t>Wentworth</w:t>
      </w:r>
      <w:r w:rsidRPr="00731EF8">
        <w:rPr>
          <w:sz w:val="22"/>
          <w:szCs w:val="22"/>
        </w:rPr>
        <w:t xml:space="preserve"> to </w:t>
      </w:r>
      <w:r w:rsidR="00B6568B" w:rsidRPr="00731EF8">
        <w:rPr>
          <w:sz w:val="22"/>
          <w:szCs w:val="22"/>
        </w:rPr>
        <w:t>7.9</w:t>
      </w:r>
      <w:r w:rsidRPr="00731EF8">
        <w:rPr>
          <w:sz w:val="22"/>
          <w:szCs w:val="22"/>
        </w:rPr>
        <w:t xml:space="preserve">% in </w:t>
      </w:r>
      <w:r w:rsidR="00B6568B" w:rsidRPr="00731EF8">
        <w:rPr>
          <w:sz w:val="22"/>
          <w:szCs w:val="22"/>
        </w:rPr>
        <w:t>Central Darling</w:t>
      </w:r>
      <w:r w:rsidRPr="00731EF8">
        <w:rPr>
          <w:sz w:val="22"/>
          <w:szCs w:val="22"/>
        </w:rPr>
        <w:t>.</w:t>
      </w:r>
    </w:p>
    <w:p w14:paraId="75150A2E" w14:textId="77777777" w:rsidR="001C6D8B" w:rsidRDefault="001C6D8B" w:rsidP="001C6D8B">
      <w:pPr>
        <w:numPr>
          <w:ilvl w:val="0"/>
          <w:numId w:val="3"/>
        </w:numPr>
        <w:spacing w:before="0" w:after="0"/>
        <w:rPr>
          <w:sz w:val="22"/>
          <w:szCs w:val="22"/>
        </w:rPr>
      </w:pPr>
      <w:r>
        <w:rPr>
          <w:sz w:val="22"/>
          <w:szCs w:val="22"/>
        </w:rPr>
        <w:t>The graph and table below give the tenure composition for the region and individual LGAs at the 2021 Census.</w:t>
      </w:r>
    </w:p>
    <w:p w14:paraId="4334753B" w14:textId="77777777" w:rsidR="001C6D8B" w:rsidRDefault="001C6D8B" w:rsidP="001C6D8B">
      <w:pPr>
        <w:spacing w:before="0" w:after="0"/>
        <w:rPr>
          <w:sz w:val="22"/>
          <w:szCs w:val="22"/>
        </w:rPr>
      </w:pPr>
    </w:p>
    <w:p w14:paraId="4E822F46" w14:textId="77777777" w:rsidR="001C6D8B" w:rsidRDefault="001C6D8B" w:rsidP="001C6D8B">
      <w:pPr>
        <w:spacing w:before="0" w:after="0"/>
        <w:rPr>
          <w:sz w:val="22"/>
          <w:szCs w:val="22"/>
        </w:rPr>
      </w:pPr>
    </w:p>
    <w:p w14:paraId="735C7E46" w14:textId="77777777" w:rsidR="001C6D8B" w:rsidRDefault="001C6D8B" w:rsidP="001C6D8B">
      <w:pPr>
        <w:spacing w:before="0" w:after="0"/>
        <w:rPr>
          <w:sz w:val="22"/>
          <w:szCs w:val="22"/>
        </w:rPr>
      </w:pPr>
      <w:r>
        <w:rPr>
          <w:noProof/>
          <w:sz w:val="22"/>
          <w:szCs w:val="22"/>
        </w:rPr>
        <w:drawing>
          <wp:inline distT="0" distB="0" distL="0" distR="0" wp14:anchorId="02F5295F" wp14:editId="1240CD0C">
            <wp:extent cx="6080125" cy="36819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3236" cy="3689870"/>
                    </a:xfrm>
                    <a:prstGeom prst="rect">
                      <a:avLst/>
                    </a:prstGeom>
                    <a:noFill/>
                  </pic:spPr>
                </pic:pic>
              </a:graphicData>
            </a:graphic>
          </wp:inline>
        </w:drawing>
      </w:r>
    </w:p>
    <w:p w14:paraId="3E652835" w14:textId="77777777" w:rsidR="001C6D8B" w:rsidRDefault="001C6D8B" w:rsidP="001C6D8B">
      <w:pPr>
        <w:spacing w:before="0" w:after="0"/>
        <w:rPr>
          <w:sz w:val="22"/>
          <w:szCs w:val="22"/>
        </w:rPr>
      </w:pPr>
    </w:p>
    <w:p w14:paraId="49C45EEE" w14:textId="77777777" w:rsidR="001C6D8B" w:rsidRDefault="001C6D8B" w:rsidP="001C6D8B">
      <w:pPr>
        <w:spacing w:before="0" w:after="0"/>
        <w:rPr>
          <w:sz w:val="22"/>
          <w:szCs w:val="22"/>
        </w:rPr>
      </w:pPr>
    </w:p>
    <w:p w14:paraId="0D7ABCF6" w14:textId="77777777" w:rsidR="001C6D8B" w:rsidRDefault="0060649A" w:rsidP="001C6D8B">
      <w:pPr>
        <w:spacing w:before="0" w:after="0"/>
        <w:rPr>
          <w:sz w:val="22"/>
          <w:szCs w:val="22"/>
        </w:rPr>
      </w:pPr>
      <w:r w:rsidRPr="0060649A">
        <w:rPr>
          <w:noProof/>
        </w:rPr>
        <w:drawing>
          <wp:inline distT="0" distB="0" distL="0" distR="0" wp14:anchorId="5B070D4B" wp14:editId="3895CF1D">
            <wp:extent cx="5994715" cy="23526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3783" cy="2356234"/>
                    </a:xfrm>
                    <a:prstGeom prst="rect">
                      <a:avLst/>
                    </a:prstGeom>
                    <a:noFill/>
                    <a:ln>
                      <a:noFill/>
                    </a:ln>
                  </pic:spPr>
                </pic:pic>
              </a:graphicData>
            </a:graphic>
          </wp:inline>
        </w:drawing>
      </w:r>
    </w:p>
    <w:p w14:paraId="38AFDD71" w14:textId="77777777" w:rsidR="001C6D8B" w:rsidRDefault="001C6D8B" w:rsidP="001C6D8B">
      <w:pPr>
        <w:spacing w:before="0" w:after="0"/>
        <w:rPr>
          <w:sz w:val="22"/>
          <w:szCs w:val="22"/>
        </w:rPr>
      </w:pPr>
    </w:p>
    <w:p w14:paraId="4DCF1B1B" w14:textId="77777777" w:rsidR="001C6D8B" w:rsidRDefault="001C6D8B" w:rsidP="00F61375">
      <w:pPr>
        <w:numPr>
          <w:ilvl w:val="0"/>
          <w:numId w:val="3"/>
        </w:numPr>
        <w:spacing w:before="0" w:after="0"/>
        <w:rPr>
          <w:sz w:val="22"/>
          <w:szCs w:val="22"/>
        </w:rPr>
      </w:pPr>
      <w:r w:rsidRPr="00335F1D">
        <w:rPr>
          <w:sz w:val="22"/>
          <w:szCs w:val="22"/>
        </w:rPr>
        <w:t xml:space="preserve">The general trend is increasing numbers of households relying on the rental market as a long term tenure rather than a transitional one between leaving home and buying a home, as housing costs have increased much faster than wages.  </w:t>
      </w:r>
      <w:r>
        <w:rPr>
          <w:sz w:val="22"/>
          <w:szCs w:val="22"/>
        </w:rPr>
        <w:t xml:space="preserve"> </w:t>
      </w:r>
    </w:p>
    <w:p w14:paraId="1D4FB998" w14:textId="77777777" w:rsidR="001C6D8B" w:rsidRPr="00BB0BCA" w:rsidRDefault="001C6D8B" w:rsidP="001C6D8B">
      <w:pPr>
        <w:numPr>
          <w:ilvl w:val="0"/>
          <w:numId w:val="3"/>
        </w:numPr>
        <w:spacing w:before="0" w:after="0"/>
        <w:rPr>
          <w:sz w:val="22"/>
          <w:szCs w:val="22"/>
        </w:rPr>
      </w:pPr>
      <w:r w:rsidRPr="00BB0BCA">
        <w:rPr>
          <w:sz w:val="22"/>
          <w:szCs w:val="22"/>
        </w:rPr>
        <w:t xml:space="preserve">Noting that the rental market in NSW generally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p>
    <w:p w14:paraId="168FCD72" w14:textId="77777777" w:rsidR="001C6D8B" w:rsidRDefault="001C6D8B" w:rsidP="00F61375">
      <w:pPr>
        <w:spacing w:before="0" w:after="0"/>
        <w:rPr>
          <w:sz w:val="22"/>
          <w:szCs w:val="22"/>
        </w:rPr>
      </w:pPr>
    </w:p>
    <w:p w14:paraId="25C93DFF" w14:textId="77777777" w:rsidR="0028400D" w:rsidRPr="001C6D8B" w:rsidRDefault="0028400D" w:rsidP="00F60312">
      <w:pPr>
        <w:rPr>
          <w:sz w:val="20"/>
          <w:szCs w:val="20"/>
        </w:rPr>
      </w:pPr>
    </w:p>
    <w:p w14:paraId="345C203A" w14:textId="77777777" w:rsidR="0028400D" w:rsidRPr="001C6D8B" w:rsidRDefault="0028400D" w:rsidP="00F60312">
      <w:pPr>
        <w:rPr>
          <w:sz w:val="20"/>
          <w:szCs w:val="20"/>
        </w:rPr>
      </w:pPr>
    </w:p>
    <w:p w14:paraId="4D4D1A93" w14:textId="77777777" w:rsidR="00F60312" w:rsidRPr="00EA1AD8" w:rsidRDefault="00EA1AD8" w:rsidP="00F60312">
      <w:pPr>
        <w:rPr>
          <w:b/>
          <w:color w:val="008000"/>
          <w:sz w:val="32"/>
        </w:rPr>
      </w:pPr>
      <w:r>
        <w:rPr>
          <w:b/>
          <w:color w:val="008000"/>
          <w:sz w:val="32"/>
        </w:rPr>
        <w:t>Social</w:t>
      </w:r>
      <w:r w:rsidR="00F60312" w:rsidRPr="00EA1AD8">
        <w:rPr>
          <w:b/>
          <w:color w:val="008000"/>
          <w:sz w:val="32"/>
        </w:rPr>
        <w:t xml:space="preserve"> Housing</w:t>
      </w:r>
    </w:p>
    <w:p w14:paraId="22015A83" w14:textId="77777777" w:rsidR="00EA1AD8" w:rsidRDefault="00EA1AD8" w:rsidP="00EA1AD8">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28FA16A7" w14:textId="77777777" w:rsidR="00EA1AD8" w:rsidRPr="00EC31FB" w:rsidRDefault="00EA1AD8" w:rsidP="00EA1AD8">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1D43CDF3" w14:textId="77777777" w:rsidR="00F60312" w:rsidRPr="00EA1AD8" w:rsidRDefault="00F60312" w:rsidP="00F60312">
      <w:pPr>
        <w:numPr>
          <w:ilvl w:val="0"/>
          <w:numId w:val="17"/>
        </w:numPr>
        <w:spacing w:before="0" w:after="0"/>
        <w:rPr>
          <w:sz w:val="22"/>
          <w:szCs w:val="22"/>
        </w:rPr>
      </w:pPr>
      <w:r w:rsidRPr="00EA1AD8">
        <w:rPr>
          <w:sz w:val="22"/>
          <w:szCs w:val="22"/>
        </w:rPr>
        <w:t xml:space="preserve">The table below shows the number of public housing properties in the </w:t>
      </w:r>
      <w:r w:rsidR="002B2797" w:rsidRPr="00EA1AD8">
        <w:rPr>
          <w:sz w:val="22"/>
          <w:szCs w:val="22"/>
        </w:rPr>
        <w:t>Far West r</w:t>
      </w:r>
      <w:r w:rsidR="00BE3744" w:rsidRPr="00EA1AD8">
        <w:rPr>
          <w:sz w:val="22"/>
          <w:szCs w:val="22"/>
        </w:rPr>
        <w:t xml:space="preserve">egion </w:t>
      </w:r>
      <w:r w:rsidRPr="00EA1AD8">
        <w:rPr>
          <w:sz w:val="22"/>
          <w:szCs w:val="22"/>
        </w:rPr>
        <w:t>as at June 20</w:t>
      </w:r>
      <w:r w:rsidR="00EA1AD8">
        <w:rPr>
          <w:sz w:val="22"/>
          <w:szCs w:val="22"/>
        </w:rPr>
        <w:t>22</w:t>
      </w:r>
      <w:r w:rsidRPr="00EA1AD8">
        <w:rPr>
          <w:sz w:val="22"/>
          <w:szCs w:val="22"/>
        </w:rPr>
        <w:t xml:space="preserve">.  Please note that Census data on public housing is not </w:t>
      </w:r>
      <w:r w:rsidR="00EA1AD8">
        <w:rPr>
          <w:sz w:val="22"/>
          <w:szCs w:val="22"/>
        </w:rPr>
        <w:t>totally</w:t>
      </w:r>
      <w:r w:rsidRPr="00EA1AD8">
        <w:rPr>
          <w:sz w:val="22"/>
          <w:szCs w:val="22"/>
        </w:rPr>
        <w:t xml:space="preserve"> accurate, as public housing tenure is under reported in the Census.  The figures below do not include community housing properties.</w:t>
      </w:r>
    </w:p>
    <w:p w14:paraId="4D40AF7B" w14:textId="77777777" w:rsidR="002868D6" w:rsidRPr="00EA1AD8" w:rsidRDefault="002868D6" w:rsidP="002868D6">
      <w:pPr>
        <w:spacing w:before="0" w:after="0"/>
        <w:rPr>
          <w:sz w:val="22"/>
          <w:szCs w:val="22"/>
        </w:rPr>
      </w:pPr>
    </w:p>
    <w:p w14:paraId="4598D11C" w14:textId="77777777" w:rsidR="009F4C66" w:rsidRPr="00EA1AD8" w:rsidRDefault="009F4C66" w:rsidP="009F4C66">
      <w:pPr>
        <w:spacing w:before="0" w:after="0"/>
        <w:rPr>
          <w:sz w:val="22"/>
          <w:szCs w:val="22"/>
        </w:rPr>
      </w:pPr>
    </w:p>
    <w:p w14:paraId="129AE755" w14:textId="77777777" w:rsidR="002868D6" w:rsidRDefault="00EA1AD8" w:rsidP="00EA1AD8">
      <w:pPr>
        <w:spacing w:after="120"/>
        <w:ind w:left="360"/>
        <w:rPr>
          <w:sz w:val="20"/>
          <w:szCs w:val="20"/>
        </w:rPr>
      </w:pPr>
      <w:r w:rsidRPr="00EA1AD8">
        <w:rPr>
          <w:noProof/>
        </w:rPr>
        <w:lastRenderedPageBreak/>
        <w:drawing>
          <wp:inline distT="0" distB="0" distL="0" distR="0" wp14:anchorId="66374F58" wp14:editId="72EBCB91">
            <wp:extent cx="216217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2486025"/>
                    </a:xfrm>
                    <a:prstGeom prst="rect">
                      <a:avLst/>
                    </a:prstGeom>
                    <a:noFill/>
                    <a:ln>
                      <a:noFill/>
                    </a:ln>
                  </pic:spPr>
                </pic:pic>
              </a:graphicData>
            </a:graphic>
          </wp:inline>
        </w:drawing>
      </w:r>
    </w:p>
    <w:p w14:paraId="5BA95848" w14:textId="77777777" w:rsidR="00EA1AD8" w:rsidRDefault="00EA1AD8" w:rsidP="00EA1AD8">
      <w:pPr>
        <w:rPr>
          <w:sz w:val="20"/>
          <w:szCs w:val="20"/>
        </w:rPr>
      </w:pPr>
    </w:p>
    <w:p w14:paraId="0AACA909" w14:textId="77777777" w:rsidR="00EA1AD8" w:rsidRDefault="00EA1AD8" w:rsidP="00EA1AD8">
      <w:pPr>
        <w:pStyle w:val="ListParagraph"/>
        <w:numPr>
          <w:ilvl w:val="0"/>
          <w:numId w:val="19"/>
        </w:numPr>
        <w:rPr>
          <w:sz w:val="22"/>
          <w:szCs w:val="22"/>
        </w:rPr>
      </w:pPr>
      <w:r w:rsidRPr="007C7958">
        <w:rPr>
          <w:sz w:val="22"/>
        </w:rPr>
        <w:t xml:space="preserve">In addition, community housing providers manage a number of properties in </w:t>
      </w:r>
      <w:r>
        <w:rPr>
          <w:sz w:val="22"/>
        </w:rPr>
        <w:t>the Far West region</w:t>
      </w:r>
      <w:r w:rsidRPr="007C7958">
        <w:rPr>
          <w:sz w:val="22"/>
        </w:rPr>
        <w:t xml:space="preserve"> – including social housing, affordable housing, transitional housing and crisis accommodation, as outlined in the table below</w:t>
      </w:r>
      <w:r w:rsidRPr="0056373B">
        <w:rPr>
          <w:sz w:val="22"/>
          <w:szCs w:val="22"/>
        </w:rPr>
        <w:t>.</w:t>
      </w:r>
    </w:p>
    <w:p w14:paraId="1CDD80CF" w14:textId="77777777" w:rsidR="0090718F" w:rsidRPr="00E77916" w:rsidRDefault="0090718F" w:rsidP="0090718F">
      <w:pPr>
        <w:pStyle w:val="ListParagraph"/>
        <w:numPr>
          <w:ilvl w:val="0"/>
          <w:numId w:val="19"/>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78A34410" w14:textId="77777777" w:rsidR="0090718F" w:rsidRPr="0056373B" w:rsidRDefault="0090718F" w:rsidP="0090718F">
      <w:pPr>
        <w:pStyle w:val="ListParagraph"/>
        <w:numPr>
          <w:ilvl w:val="0"/>
          <w:numId w:val="19"/>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2A7702DD" w14:textId="77777777" w:rsidR="0090718F" w:rsidRPr="0056373B" w:rsidRDefault="0090718F" w:rsidP="0090718F">
      <w:pPr>
        <w:pStyle w:val="ListParagraph"/>
        <w:ind w:left="360"/>
        <w:rPr>
          <w:sz w:val="22"/>
          <w:szCs w:val="22"/>
        </w:rPr>
      </w:pPr>
    </w:p>
    <w:p w14:paraId="32B5A53D" w14:textId="77777777" w:rsidR="00EA1AD8" w:rsidRDefault="00EA1AD8" w:rsidP="002868D6">
      <w:pPr>
        <w:spacing w:after="120"/>
        <w:rPr>
          <w:sz w:val="20"/>
          <w:szCs w:val="20"/>
        </w:rPr>
      </w:pPr>
    </w:p>
    <w:p w14:paraId="7D90DD8A" w14:textId="77777777" w:rsidR="00EA1AD8" w:rsidRDefault="00EA1AD8" w:rsidP="00EA1AD8">
      <w:pPr>
        <w:spacing w:after="120"/>
        <w:ind w:left="357"/>
        <w:rPr>
          <w:sz w:val="20"/>
          <w:szCs w:val="20"/>
        </w:rPr>
      </w:pPr>
      <w:r w:rsidRPr="00EA1AD8">
        <w:rPr>
          <w:noProof/>
        </w:rPr>
        <w:drawing>
          <wp:inline distT="0" distB="0" distL="0" distR="0" wp14:anchorId="5AED6964" wp14:editId="60F11AEF">
            <wp:extent cx="2162175" cy="2486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486025"/>
                    </a:xfrm>
                    <a:prstGeom prst="rect">
                      <a:avLst/>
                    </a:prstGeom>
                    <a:noFill/>
                    <a:ln>
                      <a:noFill/>
                    </a:ln>
                  </pic:spPr>
                </pic:pic>
              </a:graphicData>
            </a:graphic>
          </wp:inline>
        </w:drawing>
      </w:r>
    </w:p>
    <w:p w14:paraId="398FE2CE" w14:textId="77777777" w:rsidR="00EA1AD8" w:rsidRDefault="00EA1AD8" w:rsidP="002868D6">
      <w:pPr>
        <w:spacing w:after="120"/>
        <w:rPr>
          <w:sz w:val="20"/>
          <w:szCs w:val="20"/>
        </w:rPr>
      </w:pPr>
    </w:p>
    <w:p w14:paraId="5FFCD36C" w14:textId="77777777" w:rsidR="00EA1AD8" w:rsidRDefault="00EA1AD8" w:rsidP="00EA1AD8">
      <w:pPr>
        <w:pStyle w:val="ListParagraph"/>
        <w:numPr>
          <w:ilvl w:val="0"/>
          <w:numId w:val="19"/>
        </w:numPr>
        <w:spacing w:after="120"/>
        <w:rPr>
          <w:sz w:val="22"/>
          <w:szCs w:val="22"/>
        </w:rPr>
      </w:pPr>
      <w:r>
        <w:rPr>
          <w:sz w:val="22"/>
          <w:szCs w:val="22"/>
        </w:rPr>
        <w:lastRenderedPageBreak/>
        <w:t>The next table gives the number of homes managed by ACHPs in the Far West</w:t>
      </w:r>
      <w:r w:rsidR="00B735F3">
        <w:rPr>
          <w:sz w:val="22"/>
          <w:szCs w:val="22"/>
        </w:rPr>
        <w:t xml:space="preserve"> as at June 2022</w:t>
      </w:r>
      <w:r>
        <w:rPr>
          <w:sz w:val="22"/>
          <w:szCs w:val="22"/>
        </w:rPr>
        <w:t>.</w:t>
      </w:r>
    </w:p>
    <w:p w14:paraId="0147C73B" w14:textId="77777777" w:rsidR="00EA1AD8" w:rsidRDefault="00EA1AD8" w:rsidP="00EA1AD8">
      <w:pPr>
        <w:spacing w:after="120"/>
        <w:rPr>
          <w:sz w:val="22"/>
          <w:szCs w:val="22"/>
        </w:rPr>
      </w:pPr>
    </w:p>
    <w:p w14:paraId="39B2D29D" w14:textId="77777777" w:rsidR="00EA1AD8" w:rsidRDefault="00EA1AD8" w:rsidP="00EA1AD8">
      <w:pPr>
        <w:spacing w:after="120"/>
        <w:ind w:left="357"/>
        <w:rPr>
          <w:sz w:val="22"/>
          <w:szCs w:val="22"/>
        </w:rPr>
      </w:pPr>
      <w:r w:rsidRPr="00EA1AD8">
        <w:rPr>
          <w:noProof/>
        </w:rPr>
        <w:drawing>
          <wp:inline distT="0" distB="0" distL="0" distR="0" wp14:anchorId="1CA33B76" wp14:editId="3D2CE247">
            <wp:extent cx="216217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p w14:paraId="1C46A303" w14:textId="77777777" w:rsidR="00EA1AD8" w:rsidRPr="00EA1AD8" w:rsidRDefault="00EA1AD8" w:rsidP="00EA1AD8">
      <w:pPr>
        <w:spacing w:after="120"/>
        <w:ind w:left="357"/>
        <w:rPr>
          <w:sz w:val="22"/>
          <w:szCs w:val="22"/>
        </w:rPr>
      </w:pPr>
    </w:p>
    <w:p w14:paraId="5CE85E17" w14:textId="77777777" w:rsidR="00B735F3" w:rsidRPr="00B40E18" w:rsidRDefault="00B735F3" w:rsidP="00B735F3">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596E7471" w14:textId="77777777" w:rsidR="00B735F3" w:rsidRPr="00B40E18" w:rsidRDefault="00B735F3" w:rsidP="00B735F3">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7D75F5F4" w14:textId="77777777" w:rsidR="00B735F3" w:rsidRPr="00B40E18" w:rsidRDefault="00B735F3" w:rsidP="00B735F3">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316988DA" w14:textId="77777777" w:rsidR="00B735F3" w:rsidRPr="00B735F3" w:rsidRDefault="00B735F3" w:rsidP="00B735F3">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38B3ECBC" w14:textId="77777777" w:rsidR="00F60312" w:rsidRPr="002868D6" w:rsidRDefault="00870181" w:rsidP="0028400D">
      <w:pPr>
        <w:pStyle w:val="ListParagraph"/>
        <w:numPr>
          <w:ilvl w:val="0"/>
          <w:numId w:val="19"/>
        </w:numPr>
        <w:spacing w:after="120"/>
        <w:ind w:left="357" w:hanging="357"/>
        <w:rPr>
          <w:sz w:val="20"/>
          <w:szCs w:val="20"/>
        </w:rPr>
      </w:pPr>
      <w:r w:rsidRPr="00870181">
        <w:rPr>
          <w:sz w:val="22"/>
          <w:szCs w:val="22"/>
        </w:rPr>
        <w:t xml:space="preserve">The table below shows the expected waiting times for general housing approved social housing applicants (not for priority housing applicants) by bedroom category in the </w:t>
      </w:r>
      <w:r w:rsidR="002B2797">
        <w:rPr>
          <w:sz w:val="22"/>
          <w:szCs w:val="22"/>
        </w:rPr>
        <w:t xml:space="preserve">Far </w:t>
      </w:r>
      <w:r w:rsidR="006F2541">
        <w:rPr>
          <w:sz w:val="22"/>
          <w:szCs w:val="22"/>
        </w:rPr>
        <w:t xml:space="preserve">West </w:t>
      </w:r>
      <w:r w:rsidR="00BD1E6A">
        <w:rPr>
          <w:sz w:val="22"/>
          <w:szCs w:val="22"/>
        </w:rPr>
        <w:t xml:space="preserve">Region </w:t>
      </w:r>
      <w:r w:rsidRPr="00870181">
        <w:rPr>
          <w:sz w:val="22"/>
          <w:szCs w:val="22"/>
        </w:rPr>
        <w:t>as at 30 June 20</w:t>
      </w:r>
      <w:r w:rsidR="0043133D">
        <w:rPr>
          <w:sz w:val="22"/>
          <w:szCs w:val="22"/>
        </w:rPr>
        <w:t>22</w:t>
      </w:r>
      <w:r w:rsidRPr="00870181">
        <w:rPr>
          <w:sz w:val="22"/>
          <w:szCs w:val="22"/>
        </w:rPr>
        <w:t>.</w:t>
      </w:r>
      <w:r w:rsidR="00EA1AD8">
        <w:rPr>
          <w:sz w:val="22"/>
          <w:szCs w:val="22"/>
        </w:rPr>
        <w:t xml:space="preserve">  It also gives the number of general and priority housing applicants by allocation zone.</w:t>
      </w:r>
    </w:p>
    <w:p w14:paraId="698DC475" w14:textId="77777777" w:rsidR="002868D6" w:rsidRDefault="002868D6" w:rsidP="002868D6">
      <w:pPr>
        <w:spacing w:after="120"/>
        <w:rPr>
          <w:sz w:val="20"/>
          <w:szCs w:val="20"/>
        </w:rPr>
      </w:pPr>
    </w:p>
    <w:p w14:paraId="7EB6A660" w14:textId="77777777" w:rsidR="00E75FDA" w:rsidRDefault="0043133D" w:rsidP="00161DA0">
      <w:pPr>
        <w:spacing w:before="0" w:after="0"/>
        <w:rPr>
          <w:sz w:val="22"/>
          <w:szCs w:val="22"/>
        </w:rPr>
      </w:pPr>
      <w:r w:rsidRPr="0043133D">
        <w:rPr>
          <w:noProof/>
        </w:rPr>
        <w:drawing>
          <wp:inline distT="0" distB="0" distL="0" distR="0" wp14:anchorId="7DF19169" wp14:editId="37645E42">
            <wp:extent cx="5274310" cy="28098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809854"/>
                    </a:xfrm>
                    <a:prstGeom prst="rect">
                      <a:avLst/>
                    </a:prstGeom>
                    <a:noFill/>
                    <a:ln>
                      <a:noFill/>
                    </a:ln>
                  </pic:spPr>
                </pic:pic>
              </a:graphicData>
            </a:graphic>
          </wp:inline>
        </w:drawing>
      </w:r>
    </w:p>
    <w:p w14:paraId="4019A3F7" w14:textId="77777777" w:rsidR="0043133D" w:rsidRDefault="0043133D" w:rsidP="00161DA0">
      <w:pPr>
        <w:spacing w:before="0" w:after="0"/>
        <w:rPr>
          <w:sz w:val="22"/>
          <w:szCs w:val="22"/>
        </w:rPr>
      </w:pPr>
    </w:p>
    <w:p w14:paraId="32B41492"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Public Housing is available on the </w:t>
      </w:r>
      <w:r w:rsidR="00670425">
        <w:rPr>
          <w:sz w:val="22"/>
          <w:szCs w:val="22"/>
        </w:rPr>
        <w:t xml:space="preserve">FACS </w:t>
      </w:r>
      <w:r w:rsidRPr="00F60312">
        <w:rPr>
          <w:sz w:val="22"/>
          <w:szCs w:val="22"/>
        </w:rPr>
        <w:t>website by region at:</w:t>
      </w:r>
    </w:p>
    <w:p w14:paraId="4185F6B6" w14:textId="77777777" w:rsidR="00F60312" w:rsidRPr="00542584" w:rsidRDefault="009B4F59" w:rsidP="00670425">
      <w:pPr>
        <w:rPr>
          <w:sz w:val="22"/>
          <w:szCs w:val="22"/>
          <w:highlight w:val="yellow"/>
        </w:rPr>
      </w:pPr>
      <w:hyperlink r:id="rId20" w:history="1">
        <w:r w:rsidR="00670425" w:rsidRPr="00542584">
          <w:rPr>
            <w:color w:val="0000FF"/>
            <w:sz w:val="22"/>
            <w:szCs w:val="22"/>
            <w:u w:val="single"/>
          </w:rPr>
          <w:t>https://www.facs.nsw.gov.au/housing/help/applying-assistance/expected-waiting-times</w:t>
        </w:r>
      </w:hyperlink>
    </w:p>
    <w:p w14:paraId="4B567D82" w14:textId="77777777" w:rsidR="00F60312" w:rsidRDefault="00F60312" w:rsidP="00F60312">
      <w:pPr>
        <w:jc w:val="center"/>
        <w:rPr>
          <w:sz w:val="20"/>
          <w:szCs w:val="20"/>
          <w:highlight w:val="yellow"/>
        </w:rPr>
      </w:pPr>
    </w:p>
    <w:p w14:paraId="5019B273" w14:textId="77777777" w:rsidR="0087264A" w:rsidRDefault="0087264A" w:rsidP="00F60312">
      <w:pPr>
        <w:jc w:val="center"/>
        <w:rPr>
          <w:sz w:val="20"/>
          <w:szCs w:val="20"/>
          <w:highlight w:val="yellow"/>
        </w:rPr>
      </w:pPr>
    </w:p>
    <w:p w14:paraId="04DFD7E6" w14:textId="77777777" w:rsidR="00F60312" w:rsidRPr="00A20E9D" w:rsidRDefault="00F60312" w:rsidP="00F60312">
      <w:pPr>
        <w:pStyle w:val="Heading2"/>
        <w:rPr>
          <w:color w:val="008000"/>
        </w:rPr>
      </w:pPr>
      <w:r w:rsidRPr="00A20E9D">
        <w:rPr>
          <w:color w:val="008000"/>
        </w:rPr>
        <w:lastRenderedPageBreak/>
        <w:t>The Gap</w:t>
      </w:r>
    </w:p>
    <w:p w14:paraId="1A6A382C" w14:textId="77777777" w:rsidR="008E7A5B" w:rsidRDefault="008E7A5B" w:rsidP="008E7A5B">
      <w:pPr>
        <w:numPr>
          <w:ilvl w:val="0"/>
          <w:numId w:val="9"/>
        </w:numPr>
        <w:spacing w:before="0" w:after="0"/>
        <w:jc w:val="both"/>
        <w:rPr>
          <w:sz w:val="22"/>
          <w:szCs w:val="22"/>
        </w:rPr>
      </w:pPr>
      <w:r w:rsidRPr="00A20E9D">
        <w:rPr>
          <w:sz w:val="22"/>
          <w:szCs w:val="22"/>
        </w:rPr>
        <w:t xml:space="preserve">Historically the Far West has been and continues to be more affordable for </w:t>
      </w:r>
      <w:r w:rsidR="007D6947">
        <w:rPr>
          <w:sz w:val="22"/>
          <w:szCs w:val="22"/>
        </w:rPr>
        <w:t xml:space="preserve">rent and for </w:t>
      </w:r>
      <w:r w:rsidRPr="00A20E9D">
        <w:rPr>
          <w:sz w:val="22"/>
          <w:szCs w:val="22"/>
        </w:rPr>
        <w:t>purchase by lower income households than the average for the Rest of NSW.</w:t>
      </w:r>
    </w:p>
    <w:p w14:paraId="77F9AA80" w14:textId="77777777" w:rsidR="00EE2CAB" w:rsidRDefault="00226062" w:rsidP="008E7A5B">
      <w:pPr>
        <w:numPr>
          <w:ilvl w:val="0"/>
          <w:numId w:val="9"/>
        </w:numPr>
        <w:spacing w:before="0" w:after="0"/>
        <w:jc w:val="both"/>
        <w:rPr>
          <w:sz w:val="22"/>
          <w:szCs w:val="22"/>
        </w:rPr>
      </w:pPr>
      <w:r>
        <w:rPr>
          <w:sz w:val="22"/>
          <w:szCs w:val="22"/>
        </w:rPr>
        <w:t>However, a</w:t>
      </w:r>
      <w:r w:rsidR="00EE2CAB">
        <w:rPr>
          <w:sz w:val="22"/>
          <w:szCs w:val="22"/>
        </w:rPr>
        <w:t xml:space="preserve"> NSW Council of Social Service study released in April 2023</w:t>
      </w:r>
      <w:r>
        <w:rPr>
          <w:sz w:val="22"/>
          <w:szCs w:val="22"/>
        </w:rPr>
        <w:t xml:space="preserve"> (Mapping Economic Disadvantage in NSW – 2021</w:t>
      </w:r>
      <w:r w:rsidR="001653D4">
        <w:rPr>
          <w:rStyle w:val="FootnoteReference"/>
          <w:sz w:val="22"/>
          <w:szCs w:val="22"/>
        </w:rPr>
        <w:footnoteReference w:id="1"/>
      </w:r>
      <w:r>
        <w:rPr>
          <w:sz w:val="22"/>
          <w:szCs w:val="22"/>
        </w:rPr>
        <w:t xml:space="preserve">) </w:t>
      </w:r>
      <w:r w:rsidR="00EE2CAB">
        <w:rPr>
          <w:sz w:val="22"/>
          <w:szCs w:val="22"/>
        </w:rPr>
        <w:t>found that in 2021 Far West NSW had the second highest rate of poverty in regional NSW – with 24.8% of the population being in poverty:</w:t>
      </w:r>
    </w:p>
    <w:p w14:paraId="400EEB62" w14:textId="77777777" w:rsidR="00EE2CAB" w:rsidRDefault="00EE2CAB" w:rsidP="00EE2CAB">
      <w:pPr>
        <w:numPr>
          <w:ilvl w:val="1"/>
          <w:numId w:val="9"/>
        </w:numPr>
        <w:spacing w:before="0" w:after="0"/>
        <w:jc w:val="both"/>
        <w:rPr>
          <w:sz w:val="22"/>
          <w:szCs w:val="22"/>
        </w:rPr>
      </w:pPr>
      <w:r w:rsidRPr="00EE2CAB">
        <w:rPr>
          <w:sz w:val="22"/>
          <w:szCs w:val="22"/>
        </w:rPr>
        <w:t>The poverty rate for households with a home mortgage was particularly high around the Far West</w:t>
      </w:r>
    </w:p>
    <w:p w14:paraId="1768E43F" w14:textId="77777777" w:rsidR="000D1DC1" w:rsidRDefault="000D1DC1" w:rsidP="00B02AAB">
      <w:pPr>
        <w:numPr>
          <w:ilvl w:val="1"/>
          <w:numId w:val="9"/>
        </w:numPr>
        <w:spacing w:before="0" w:after="0"/>
        <w:jc w:val="both"/>
        <w:rPr>
          <w:sz w:val="22"/>
          <w:szCs w:val="22"/>
        </w:rPr>
      </w:pPr>
      <w:r w:rsidRPr="000D1DC1">
        <w:rPr>
          <w:sz w:val="22"/>
          <w:szCs w:val="22"/>
        </w:rPr>
        <w:t xml:space="preserve">For households living in private rental properties, the highest rates </w:t>
      </w:r>
      <w:r w:rsidR="007D6947">
        <w:rPr>
          <w:sz w:val="22"/>
          <w:szCs w:val="22"/>
        </w:rPr>
        <w:t xml:space="preserve">of poverty </w:t>
      </w:r>
      <w:r w:rsidRPr="000D1DC1">
        <w:rPr>
          <w:sz w:val="22"/>
          <w:szCs w:val="22"/>
        </w:rPr>
        <w:t xml:space="preserve">(above 50%) </w:t>
      </w:r>
      <w:r>
        <w:rPr>
          <w:sz w:val="22"/>
          <w:szCs w:val="22"/>
        </w:rPr>
        <w:t xml:space="preserve">were </w:t>
      </w:r>
      <w:r w:rsidRPr="000D1DC1">
        <w:rPr>
          <w:sz w:val="22"/>
          <w:szCs w:val="22"/>
        </w:rPr>
        <w:t xml:space="preserve">in the Far West </w:t>
      </w:r>
    </w:p>
    <w:p w14:paraId="2E090FF7" w14:textId="77777777" w:rsidR="000F1B66" w:rsidRDefault="000F1B66" w:rsidP="00B02AAB">
      <w:pPr>
        <w:numPr>
          <w:ilvl w:val="1"/>
          <w:numId w:val="9"/>
        </w:numPr>
        <w:spacing w:before="0" w:after="0"/>
        <w:jc w:val="both"/>
        <w:rPr>
          <w:sz w:val="22"/>
          <w:szCs w:val="22"/>
        </w:rPr>
      </w:pPr>
      <w:r>
        <w:rPr>
          <w:sz w:val="22"/>
          <w:szCs w:val="22"/>
        </w:rPr>
        <w:t>The Far West also had the highest rate of poverty in NSW for people in full time employment (17.6%)</w:t>
      </w:r>
      <w:r w:rsidR="004474E3">
        <w:rPr>
          <w:sz w:val="22"/>
          <w:szCs w:val="22"/>
        </w:rPr>
        <w:t xml:space="preserve"> and </w:t>
      </w:r>
      <w:r w:rsidR="007D6947">
        <w:rPr>
          <w:sz w:val="22"/>
          <w:szCs w:val="22"/>
        </w:rPr>
        <w:t xml:space="preserve">also </w:t>
      </w:r>
      <w:r w:rsidR="004474E3">
        <w:rPr>
          <w:sz w:val="22"/>
          <w:szCs w:val="22"/>
        </w:rPr>
        <w:t xml:space="preserve">part-time </w:t>
      </w:r>
      <w:r w:rsidR="002102C3">
        <w:rPr>
          <w:sz w:val="22"/>
          <w:szCs w:val="22"/>
        </w:rPr>
        <w:t xml:space="preserve">employment </w:t>
      </w:r>
      <w:r w:rsidR="004474E3">
        <w:rPr>
          <w:sz w:val="22"/>
          <w:szCs w:val="22"/>
        </w:rPr>
        <w:t>(25.0%)</w:t>
      </w:r>
    </w:p>
    <w:p w14:paraId="2CB650B9" w14:textId="77777777" w:rsidR="007D6947" w:rsidRDefault="007D6947" w:rsidP="00B02AAB">
      <w:pPr>
        <w:numPr>
          <w:ilvl w:val="1"/>
          <w:numId w:val="9"/>
        </w:numPr>
        <w:spacing w:before="0" w:after="0"/>
        <w:jc w:val="both"/>
        <w:rPr>
          <w:sz w:val="22"/>
          <w:szCs w:val="22"/>
        </w:rPr>
      </w:pPr>
      <w:r w:rsidRPr="007D6947">
        <w:rPr>
          <w:sz w:val="22"/>
          <w:szCs w:val="22"/>
        </w:rPr>
        <w:t xml:space="preserve">In </w:t>
      </w:r>
      <w:r w:rsidR="00FD72E6">
        <w:rPr>
          <w:sz w:val="22"/>
          <w:szCs w:val="22"/>
        </w:rPr>
        <w:t xml:space="preserve">the Far West 45% of Aboriginal and Torres Strait Islander people live in </w:t>
      </w:r>
      <w:r w:rsidR="002102C3">
        <w:rPr>
          <w:sz w:val="22"/>
          <w:szCs w:val="22"/>
        </w:rPr>
        <w:t xml:space="preserve">a </w:t>
      </w:r>
      <w:r w:rsidR="00FD72E6">
        <w:rPr>
          <w:sz w:val="22"/>
          <w:szCs w:val="22"/>
        </w:rPr>
        <w:t xml:space="preserve">low income household.  </w:t>
      </w:r>
      <w:r w:rsidRPr="007D6947">
        <w:rPr>
          <w:sz w:val="22"/>
          <w:szCs w:val="22"/>
        </w:rPr>
        <w:t>Widespread and structural socioeconomic disadvantage in terms of intergenerational poverty, racism, reduced options for income generation, employment and housing, as well as social and health inequalities all contribute to this ongoing experience of disadvantage</w:t>
      </w:r>
      <w:r w:rsidR="00FD72E6">
        <w:rPr>
          <w:sz w:val="22"/>
          <w:szCs w:val="22"/>
        </w:rPr>
        <w:t>.</w:t>
      </w:r>
    </w:p>
    <w:p w14:paraId="69438273" w14:textId="77777777" w:rsidR="00303870" w:rsidRPr="00303870" w:rsidRDefault="00303870" w:rsidP="00303870">
      <w:pPr>
        <w:pStyle w:val="ListParagraph"/>
        <w:numPr>
          <w:ilvl w:val="0"/>
          <w:numId w:val="9"/>
        </w:numPr>
        <w:spacing w:before="0" w:after="0"/>
        <w:jc w:val="both"/>
        <w:rPr>
          <w:sz w:val="22"/>
          <w:szCs w:val="22"/>
        </w:rPr>
      </w:pPr>
      <w:r w:rsidRPr="00303870">
        <w:rPr>
          <w:sz w:val="22"/>
          <w:szCs w:val="22"/>
        </w:rPr>
        <w:t>Infrastructure Australia delivered a report “2022 Regional Strengths and Infrastructure Gaps” which cited growth in employment in mining, energy and tourism for the Far West:</w:t>
      </w:r>
    </w:p>
    <w:p w14:paraId="5DF06D49" w14:textId="77777777" w:rsidR="00303870" w:rsidRDefault="00303870" w:rsidP="00303870">
      <w:pPr>
        <w:numPr>
          <w:ilvl w:val="1"/>
          <w:numId w:val="9"/>
        </w:numPr>
        <w:spacing w:before="0" w:after="0"/>
        <w:rPr>
          <w:sz w:val="22"/>
          <w:szCs w:val="22"/>
        </w:rPr>
      </w:pPr>
      <w:r w:rsidRPr="00303870">
        <w:rPr>
          <w:sz w:val="22"/>
          <w:szCs w:val="22"/>
        </w:rPr>
        <w:t>Expansions in mining operations present significant opportunities for regional employment growth in the mining industry, as well as supporting sub-sectors such as manufacturing and services.</w:t>
      </w:r>
      <w:r>
        <w:rPr>
          <w:sz w:val="22"/>
          <w:szCs w:val="22"/>
        </w:rPr>
        <w:t xml:space="preserve"> </w:t>
      </w:r>
    </w:p>
    <w:p w14:paraId="6B9D7EDB" w14:textId="77777777" w:rsidR="00303870" w:rsidRDefault="00303870" w:rsidP="00377C26">
      <w:pPr>
        <w:numPr>
          <w:ilvl w:val="1"/>
          <w:numId w:val="9"/>
        </w:numPr>
        <w:spacing w:before="0" w:after="0"/>
        <w:rPr>
          <w:sz w:val="22"/>
          <w:szCs w:val="22"/>
        </w:rPr>
      </w:pPr>
      <w:r w:rsidRPr="00303870">
        <w:rPr>
          <w:sz w:val="22"/>
          <w:szCs w:val="22"/>
        </w:rPr>
        <w:t>The Far West’s high levels of solar radiation, large open spaces and presence of transmission infrastructure represent significant growth opportunities for the renewable energy sector. This is supported by the development of the Silverton Wind Farm and Broken Hill Solar Plan, which can power up to 20,000 and 137,000 Australian homes respectively.</w:t>
      </w:r>
    </w:p>
    <w:p w14:paraId="141882A2" w14:textId="77777777" w:rsidR="00303870" w:rsidRPr="00303870" w:rsidRDefault="00303870" w:rsidP="00F2199B">
      <w:pPr>
        <w:numPr>
          <w:ilvl w:val="1"/>
          <w:numId w:val="9"/>
        </w:numPr>
        <w:spacing w:before="0" w:after="0"/>
        <w:rPr>
          <w:sz w:val="22"/>
          <w:szCs w:val="22"/>
        </w:rPr>
      </w:pPr>
      <w:r w:rsidRPr="00303870">
        <w:rPr>
          <w:sz w:val="22"/>
          <w:szCs w:val="22"/>
        </w:rPr>
        <w:t>Tourism has become an important sector experiencing an average of 5.7% annual growth in visitor numbers from 2010 to 2019. Complementing existing industries, agritourism offerings such as farm stays and farmers markets will enable the sector to continue maturing, while the region’s natural assets support cultural tourism and ecotourism</w:t>
      </w:r>
    </w:p>
    <w:p w14:paraId="0B584A0F" w14:textId="77777777" w:rsidR="00303870" w:rsidRDefault="00303870" w:rsidP="00303870">
      <w:pPr>
        <w:spacing w:before="0" w:after="0"/>
        <w:ind w:left="1080"/>
        <w:rPr>
          <w:sz w:val="22"/>
          <w:szCs w:val="22"/>
        </w:rPr>
      </w:pPr>
      <w:r w:rsidRPr="00303870">
        <w:rPr>
          <w:sz w:val="22"/>
          <w:szCs w:val="22"/>
        </w:rPr>
        <w:t>opportunities</w:t>
      </w:r>
      <w:r>
        <w:rPr>
          <w:sz w:val="22"/>
          <w:szCs w:val="22"/>
        </w:rPr>
        <w:t>. (p113 of NSW report)</w:t>
      </w:r>
    </w:p>
    <w:p w14:paraId="551DE6AF" w14:textId="77777777" w:rsidR="005F2837" w:rsidRPr="005F2837" w:rsidRDefault="005F2837" w:rsidP="005F2837">
      <w:pPr>
        <w:pStyle w:val="ListParagraph"/>
        <w:numPr>
          <w:ilvl w:val="1"/>
          <w:numId w:val="9"/>
        </w:numPr>
        <w:spacing w:before="0" w:after="0"/>
        <w:rPr>
          <w:sz w:val="22"/>
          <w:szCs w:val="22"/>
        </w:rPr>
      </w:pPr>
      <w:r>
        <w:rPr>
          <w:sz w:val="22"/>
          <w:szCs w:val="22"/>
        </w:rPr>
        <w:t>While they see opportunities for growth they did not cite housing as an infrastructure issue, unlike some other regions in NSW.</w:t>
      </w:r>
    </w:p>
    <w:p w14:paraId="77279B1E" w14:textId="77777777" w:rsidR="001653D4" w:rsidRPr="005F2837" w:rsidRDefault="005F2837" w:rsidP="005F2837">
      <w:pPr>
        <w:pStyle w:val="ListParagraph"/>
        <w:numPr>
          <w:ilvl w:val="0"/>
          <w:numId w:val="9"/>
        </w:numPr>
        <w:spacing w:before="0" w:after="0"/>
        <w:rPr>
          <w:sz w:val="22"/>
          <w:szCs w:val="22"/>
        </w:rPr>
      </w:pPr>
      <w:r>
        <w:rPr>
          <w:sz w:val="22"/>
          <w:szCs w:val="22"/>
        </w:rPr>
        <w:t>Nevertheless, t</w:t>
      </w:r>
      <w:r w:rsidR="001653D4" w:rsidRPr="005F2837">
        <w:rPr>
          <w:sz w:val="22"/>
          <w:szCs w:val="22"/>
        </w:rPr>
        <w:t xml:space="preserve">here has been a decline in the number of private rental properties which are affordable to low income rental households in the </w:t>
      </w:r>
      <w:r w:rsidR="001D382F" w:rsidRPr="005F2837">
        <w:rPr>
          <w:sz w:val="22"/>
          <w:szCs w:val="22"/>
        </w:rPr>
        <w:t>Far West</w:t>
      </w:r>
      <w:r w:rsidR="001653D4" w:rsidRPr="005F2837">
        <w:rPr>
          <w:sz w:val="22"/>
          <w:szCs w:val="22"/>
        </w:rPr>
        <w:t>, as the graph below demonstrates.</w:t>
      </w:r>
    </w:p>
    <w:p w14:paraId="4576BC0B" w14:textId="77777777" w:rsidR="00EE2CAB" w:rsidRDefault="00EE2CAB" w:rsidP="002D476B">
      <w:pPr>
        <w:spacing w:before="0" w:after="0"/>
        <w:jc w:val="both"/>
        <w:rPr>
          <w:sz w:val="22"/>
          <w:szCs w:val="22"/>
        </w:rPr>
      </w:pPr>
    </w:p>
    <w:p w14:paraId="7718CC6E" w14:textId="77777777" w:rsidR="002D476B" w:rsidRDefault="002D476B" w:rsidP="002D476B">
      <w:pPr>
        <w:spacing w:before="0" w:after="0"/>
        <w:jc w:val="both"/>
        <w:rPr>
          <w:sz w:val="22"/>
          <w:szCs w:val="22"/>
        </w:rPr>
      </w:pPr>
      <w:r>
        <w:rPr>
          <w:noProof/>
          <w:sz w:val="22"/>
          <w:szCs w:val="22"/>
        </w:rPr>
        <w:lastRenderedPageBreak/>
        <w:drawing>
          <wp:inline distT="0" distB="0" distL="0" distR="0" wp14:anchorId="2080E039" wp14:editId="0B26A0CF">
            <wp:extent cx="5984875" cy="29344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897" cy="2937889"/>
                    </a:xfrm>
                    <a:prstGeom prst="rect">
                      <a:avLst/>
                    </a:prstGeom>
                    <a:noFill/>
                  </pic:spPr>
                </pic:pic>
              </a:graphicData>
            </a:graphic>
          </wp:inline>
        </w:drawing>
      </w:r>
    </w:p>
    <w:p w14:paraId="0D67A162" w14:textId="77777777" w:rsidR="00A20E9D" w:rsidRDefault="00A20E9D" w:rsidP="00A20E9D">
      <w:pPr>
        <w:spacing w:before="0" w:after="0"/>
        <w:jc w:val="both"/>
        <w:rPr>
          <w:sz w:val="22"/>
          <w:szCs w:val="22"/>
        </w:rPr>
      </w:pPr>
    </w:p>
    <w:p w14:paraId="5BA6E52C" w14:textId="77777777" w:rsidR="00A20E9D" w:rsidRDefault="00A20E9D" w:rsidP="00A20E9D">
      <w:pPr>
        <w:spacing w:before="0" w:after="0"/>
        <w:jc w:val="both"/>
        <w:rPr>
          <w:sz w:val="22"/>
          <w:szCs w:val="22"/>
        </w:rPr>
      </w:pPr>
    </w:p>
    <w:p w14:paraId="2CB2A825" w14:textId="77777777" w:rsidR="000B0128" w:rsidRDefault="000B0128" w:rsidP="000B0128">
      <w:pPr>
        <w:numPr>
          <w:ilvl w:val="0"/>
          <w:numId w:val="9"/>
        </w:numPr>
        <w:spacing w:before="0" w:after="0"/>
        <w:rPr>
          <w:sz w:val="22"/>
          <w:szCs w:val="22"/>
        </w:rPr>
      </w:pPr>
      <w:r>
        <w:rPr>
          <w:sz w:val="22"/>
          <w:szCs w:val="22"/>
        </w:rPr>
        <w:t>The next graph compares change in median income with change in median rents and median sales price in the Far West</w:t>
      </w:r>
      <w:r w:rsidRPr="00EC3E55">
        <w:rPr>
          <w:sz w:val="22"/>
          <w:szCs w:val="22"/>
        </w:rPr>
        <w:t xml:space="preserve"> LGAs </w:t>
      </w:r>
      <w:r>
        <w:rPr>
          <w:sz w:val="22"/>
          <w:szCs w:val="22"/>
        </w:rPr>
        <w:t>between 2016 and 2021 for income and 2017 to 2022 for rent and sales price.  Unfortunately there is not a full data set available for every LGA – with median rents only able to be calculated for Broken Hill, Cobar and Wentworth and median sales price only for Broken Hill, Cobar, Walgett and Wentworth.</w:t>
      </w:r>
    </w:p>
    <w:p w14:paraId="5CE96124" w14:textId="77777777" w:rsidR="001B28FD" w:rsidRPr="001B28FD" w:rsidRDefault="001B28FD" w:rsidP="001B28FD">
      <w:pPr>
        <w:numPr>
          <w:ilvl w:val="0"/>
          <w:numId w:val="9"/>
        </w:numPr>
        <w:spacing w:before="0" w:after="0"/>
        <w:rPr>
          <w:sz w:val="22"/>
          <w:szCs w:val="22"/>
        </w:rPr>
      </w:pPr>
      <w:r>
        <w:rPr>
          <w:sz w:val="22"/>
          <w:szCs w:val="22"/>
        </w:rPr>
        <w:t xml:space="preserve">Generally, across Australia, housing costs have increased much faster than incomes.  </w:t>
      </w:r>
      <w:r w:rsidR="000B0128" w:rsidRPr="001B28FD">
        <w:rPr>
          <w:sz w:val="22"/>
          <w:szCs w:val="22"/>
        </w:rPr>
        <w:t xml:space="preserve">For both Broken Hill and Wentworth it is clear that the increase in median sales price far outstrips any increase in median income.  In Cobar, the increase in median rent far outweighs the increase in median income. </w:t>
      </w:r>
    </w:p>
    <w:p w14:paraId="004089C8" w14:textId="77777777" w:rsidR="00A20E9D" w:rsidRDefault="00A20E9D" w:rsidP="00A20E9D">
      <w:pPr>
        <w:spacing w:before="0" w:after="0"/>
        <w:jc w:val="both"/>
        <w:rPr>
          <w:sz w:val="22"/>
          <w:szCs w:val="22"/>
        </w:rPr>
      </w:pPr>
    </w:p>
    <w:p w14:paraId="46F2801E" w14:textId="77777777" w:rsidR="00A20E9D" w:rsidRDefault="00A20E9D" w:rsidP="00A20E9D">
      <w:pPr>
        <w:spacing w:before="0" w:after="0"/>
        <w:jc w:val="both"/>
        <w:rPr>
          <w:sz w:val="22"/>
          <w:szCs w:val="22"/>
        </w:rPr>
      </w:pPr>
    </w:p>
    <w:p w14:paraId="6029DD28" w14:textId="77777777" w:rsidR="00A20E9D" w:rsidRDefault="000B0128" w:rsidP="00A20E9D">
      <w:pPr>
        <w:spacing w:before="0" w:after="0"/>
        <w:jc w:val="both"/>
        <w:rPr>
          <w:sz w:val="22"/>
          <w:szCs w:val="22"/>
        </w:rPr>
      </w:pPr>
      <w:r>
        <w:rPr>
          <w:noProof/>
          <w:sz w:val="22"/>
          <w:szCs w:val="22"/>
        </w:rPr>
        <w:lastRenderedPageBreak/>
        <w:drawing>
          <wp:inline distT="0" distB="0" distL="0" distR="0" wp14:anchorId="63F3DE38" wp14:editId="1DA0ECF4">
            <wp:extent cx="5791835" cy="3755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835" cy="3755390"/>
                    </a:xfrm>
                    <a:prstGeom prst="rect">
                      <a:avLst/>
                    </a:prstGeom>
                    <a:noFill/>
                  </pic:spPr>
                </pic:pic>
              </a:graphicData>
            </a:graphic>
          </wp:inline>
        </w:drawing>
      </w:r>
    </w:p>
    <w:p w14:paraId="41164317" w14:textId="77777777" w:rsidR="00A20E9D" w:rsidRDefault="00A20E9D" w:rsidP="00A20E9D">
      <w:pPr>
        <w:spacing w:before="0" w:after="0"/>
        <w:jc w:val="both"/>
        <w:rPr>
          <w:sz w:val="22"/>
          <w:szCs w:val="22"/>
        </w:rPr>
      </w:pPr>
    </w:p>
    <w:p w14:paraId="0E1890FE" w14:textId="77777777" w:rsidR="00FE2892" w:rsidRDefault="00FE2892" w:rsidP="00FE2892">
      <w:pPr>
        <w:numPr>
          <w:ilvl w:val="0"/>
          <w:numId w:val="9"/>
        </w:numPr>
        <w:spacing w:before="0" w:after="0"/>
        <w:rPr>
          <w:sz w:val="22"/>
          <w:szCs w:val="22"/>
        </w:rPr>
      </w:pPr>
      <w:r>
        <w:rPr>
          <w:sz w:val="22"/>
          <w:szCs w:val="22"/>
        </w:rPr>
        <w:t xml:space="preserve">Low income households are the dominant income group across the </w:t>
      </w:r>
      <w:r w:rsidR="007C49EC">
        <w:rPr>
          <w:sz w:val="22"/>
          <w:szCs w:val="22"/>
        </w:rPr>
        <w:t xml:space="preserve">Far West </w:t>
      </w:r>
      <w:r>
        <w:rPr>
          <w:sz w:val="22"/>
          <w:szCs w:val="22"/>
        </w:rPr>
        <w:t xml:space="preserve">and in </w:t>
      </w:r>
      <w:r w:rsidR="007C49EC">
        <w:rPr>
          <w:sz w:val="22"/>
          <w:szCs w:val="22"/>
        </w:rPr>
        <w:t>almost every</w:t>
      </w:r>
      <w:r>
        <w:rPr>
          <w:sz w:val="22"/>
          <w:szCs w:val="22"/>
        </w:rPr>
        <w:t xml:space="preserve"> LGA in the region</w:t>
      </w:r>
      <w:r w:rsidR="007C49EC">
        <w:rPr>
          <w:sz w:val="22"/>
          <w:szCs w:val="22"/>
        </w:rPr>
        <w:t xml:space="preserve"> (excepting Cobar and also Unincorporated NSW)</w:t>
      </w:r>
      <w:r>
        <w:rPr>
          <w:sz w:val="22"/>
          <w:szCs w:val="22"/>
        </w:rPr>
        <w:t xml:space="preserve">, comprising </w:t>
      </w:r>
      <w:r w:rsidR="007C49EC">
        <w:rPr>
          <w:sz w:val="22"/>
          <w:szCs w:val="22"/>
        </w:rPr>
        <w:t>48.9</w:t>
      </w:r>
      <w:r>
        <w:rPr>
          <w:sz w:val="22"/>
          <w:szCs w:val="22"/>
        </w:rPr>
        <w:t>% of all households in the region (</w:t>
      </w:r>
      <w:r w:rsidR="007C49EC">
        <w:rPr>
          <w:sz w:val="22"/>
          <w:szCs w:val="22"/>
        </w:rPr>
        <w:t>just below</w:t>
      </w:r>
      <w:r>
        <w:rPr>
          <w:sz w:val="22"/>
          <w:szCs w:val="22"/>
        </w:rPr>
        <w:t xml:space="preserve"> the Rest of NSW average of 49.3%) and ranging from </w:t>
      </w:r>
      <w:r w:rsidR="00B50F2D">
        <w:rPr>
          <w:sz w:val="22"/>
          <w:szCs w:val="22"/>
        </w:rPr>
        <w:t>28.7</w:t>
      </w:r>
      <w:r>
        <w:rPr>
          <w:sz w:val="22"/>
          <w:szCs w:val="22"/>
        </w:rPr>
        <w:t xml:space="preserve">% in </w:t>
      </w:r>
      <w:r w:rsidR="00B50F2D">
        <w:rPr>
          <w:sz w:val="22"/>
          <w:szCs w:val="22"/>
        </w:rPr>
        <w:t>Unincorporated NSW</w:t>
      </w:r>
      <w:r>
        <w:rPr>
          <w:sz w:val="22"/>
          <w:szCs w:val="22"/>
        </w:rPr>
        <w:t xml:space="preserve"> to 6</w:t>
      </w:r>
      <w:r w:rsidR="00B50F2D">
        <w:rPr>
          <w:sz w:val="22"/>
          <w:szCs w:val="22"/>
        </w:rPr>
        <w:t>6.4</w:t>
      </w:r>
      <w:r>
        <w:rPr>
          <w:sz w:val="22"/>
          <w:szCs w:val="22"/>
        </w:rPr>
        <w:t xml:space="preserve">% in </w:t>
      </w:r>
      <w:r w:rsidR="00B50F2D">
        <w:rPr>
          <w:sz w:val="22"/>
          <w:szCs w:val="22"/>
        </w:rPr>
        <w:t>Brewarrina</w:t>
      </w:r>
      <w:r>
        <w:rPr>
          <w:sz w:val="22"/>
          <w:szCs w:val="22"/>
        </w:rPr>
        <w:t>.</w:t>
      </w:r>
    </w:p>
    <w:p w14:paraId="5F7F0643" w14:textId="77777777" w:rsidR="00FE2892" w:rsidRDefault="00B50F2D" w:rsidP="00FE2892">
      <w:pPr>
        <w:numPr>
          <w:ilvl w:val="0"/>
          <w:numId w:val="9"/>
        </w:numPr>
        <w:spacing w:before="0" w:after="0"/>
        <w:rPr>
          <w:sz w:val="22"/>
          <w:szCs w:val="22"/>
        </w:rPr>
      </w:pPr>
      <w:r>
        <w:rPr>
          <w:sz w:val="22"/>
          <w:szCs w:val="22"/>
        </w:rPr>
        <w:t>Due</w:t>
      </w:r>
      <w:r w:rsidR="007D336F">
        <w:rPr>
          <w:sz w:val="22"/>
          <w:szCs w:val="22"/>
        </w:rPr>
        <w:t xml:space="preserve"> in part</w:t>
      </w:r>
      <w:r>
        <w:rPr>
          <w:sz w:val="22"/>
          <w:szCs w:val="22"/>
        </w:rPr>
        <w:t xml:space="preserve"> to population decline</w:t>
      </w:r>
      <w:r w:rsidR="000C1756" w:rsidRPr="000C1756">
        <w:rPr>
          <w:sz w:val="22"/>
          <w:szCs w:val="22"/>
        </w:rPr>
        <w:t xml:space="preserve"> </w:t>
      </w:r>
      <w:r w:rsidR="000C1756">
        <w:rPr>
          <w:sz w:val="22"/>
          <w:szCs w:val="22"/>
        </w:rPr>
        <w:t>between 2016 and 2021</w:t>
      </w:r>
      <w:r>
        <w:rPr>
          <w:sz w:val="22"/>
          <w:szCs w:val="22"/>
        </w:rPr>
        <w:t>, the number of low income earners declined in every Far West LGA except for Bourke and Wentworth, as the graph below depicts</w:t>
      </w:r>
      <w:r w:rsidR="00FE2892">
        <w:rPr>
          <w:sz w:val="22"/>
          <w:szCs w:val="22"/>
        </w:rPr>
        <w:t>.</w:t>
      </w:r>
      <w:r>
        <w:rPr>
          <w:sz w:val="22"/>
          <w:szCs w:val="22"/>
        </w:rPr>
        <w:t xml:space="preserve">  Note that Broken Hill lost far more low income earners than total population.</w:t>
      </w:r>
    </w:p>
    <w:p w14:paraId="272015B4" w14:textId="77777777" w:rsidR="00A20E9D" w:rsidRDefault="00A20E9D" w:rsidP="00A20E9D">
      <w:pPr>
        <w:spacing w:before="0" w:after="0"/>
        <w:jc w:val="both"/>
        <w:rPr>
          <w:sz w:val="22"/>
          <w:szCs w:val="22"/>
        </w:rPr>
      </w:pPr>
    </w:p>
    <w:p w14:paraId="14ED5A4F" w14:textId="77777777" w:rsidR="007C49EC" w:rsidRDefault="007C49EC" w:rsidP="00A20E9D">
      <w:pPr>
        <w:spacing w:before="0" w:after="0"/>
        <w:jc w:val="both"/>
        <w:rPr>
          <w:sz w:val="22"/>
          <w:szCs w:val="22"/>
        </w:rPr>
      </w:pPr>
      <w:r>
        <w:rPr>
          <w:noProof/>
          <w:sz w:val="22"/>
          <w:szCs w:val="22"/>
        </w:rPr>
        <w:lastRenderedPageBreak/>
        <w:drawing>
          <wp:inline distT="0" distB="0" distL="0" distR="0" wp14:anchorId="41AF019D" wp14:editId="71DDCDFB">
            <wp:extent cx="5810250" cy="31642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3164205"/>
                    </a:xfrm>
                    <a:prstGeom prst="rect">
                      <a:avLst/>
                    </a:prstGeom>
                    <a:noFill/>
                  </pic:spPr>
                </pic:pic>
              </a:graphicData>
            </a:graphic>
          </wp:inline>
        </w:drawing>
      </w:r>
    </w:p>
    <w:p w14:paraId="70AE39D9" w14:textId="77777777" w:rsidR="00A20E9D" w:rsidRDefault="00A20E9D" w:rsidP="00A20E9D">
      <w:pPr>
        <w:spacing w:before="0" w:after="0"/>
        <w:jc w:val="both"/>
        <w:rPr>
          <w:sz w:val="22"/>
          <w:szCs w:val="22"/>
        </w:rPr>
      </w:pPr>
    </w:p>
    <w:p w14:paraId="66EE4007" w14:textId="77777777" w:rsidR="00A20E9D" w:rsidRDefault="00A20E9D" w:rsidP="00A20E9D">
      <w:pPr>
        <w:spacing w:before="0" w:after="0"/>
        <w:jc w:val="both"/>
        <w:rPr>
          <w:sz w:val="22"/>
          <w:szCs w:val="22"/>
        </w:rPr>
      </w:pPr>
    </w:p>
    <w:p w14:paraId="5D1B32AB" w14:textId="77777777" w:rsidR="005561A1" w:rsidRDefault="005561A1" w:rsidP="005561A1">
      <w:pPr>
        <w:numPr>
          <w:ilvl w:val="0"/>
          <w:numId w:val="9"/>
        </w:numPr>
        <w:spacing w:before="0" w:after="0"/>
        <w:rPr>
          <w:sz w:val="22"/>
          <w:szCs w:val="22"/>
        </w:rPr>
      </w:pPr>
      <w:r>
        <w:rPr>
          <w:sz w:val="22"/>
          <w:szCs w:val="22"/>
        </w:rPr>
        <w:t>Due to the changes to income assistance during and subsequent to the COVID-19 pandemic, it is difficult to see what has happened with renters and low income renters in particular between 2016 and 2021.  However, it is clear the supply of affordable private rental is declining and in Cobar at least, rents have increased much faster than income.</w:t>
      </w:r>
    </w:p>
    <w:p w14:paraId="7773BA10" w14:textId="77777777" w:rsidR="000C1756" w:rsidRDefault="000C1756" w:rsidP="005561A1">
      <w:pPr>
        <w:numPr>
          <w:ilvl w:val="0"/>
          <w:numId w:val="9"/>
        </w:numPr>
        <w:spacing w:before="0" w:after="0"/>
        <w:rPr>
          <w:sz w:val="22"/>
          <w:szCs w:val="22"/>
        </w:rPr>
      </w:pPr>
      <w:r>
        <w:rPr>
          <w:sz w:val="22"/>
          <w:szCs w:val="22"/>
        </w:rPr>
        <w:t>Given the rate of poverty in the Far West and the level of disadvantage amongst Aboriginal and Torres Strait Islander residents, there is a need for more affordable rental housing for lower income households in this region.</w:t>
      </w:r>
    </w:p>
    <w:p w14:paraId="2DB5DFE4" w14:textId="77777777" w:rsidR="000C1756" w:rsidRPr="00763078" w:rsidRDefault="000C1756" w:rsidP="000C1756">
      <w:pPr>
        <w:numPr>
          <w:ilvl w:val="0"/>
          <w:numId w:val="9"/>
        </w:numPr>
        <w:spacing w:before="0" w:after="0"/>
        <w:rPr>
          <w:sz w:val="22"/>
          <w:szCs w:val="22"/>
        </w:rPr>
      </w:pPr>
      <w:r w:rsidRPr="00763078">
        <w:rPr>
          <w:sz w:val="22"/>
          <w:szCs w:val="22"/>
        </w:rPr>
        <w:t>As well as the gap between supply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the </w:t>
      </w:r>
      <w:r w:rsidR="008E6E53">
        <w:rPr>
          <w:sz w:val="22"/>
          <w:szCs w:val="22"/>
        </w:rPr>
        <w:t>Far West</w:t>
      </w:r>
      <w:r w:rsidRPr="00763078">
        <w:rPr>
          <w:sz w:val="22"/>
          <w:szCs w:val="22"/>
        </w:rPr>
        <w:t xml:space="preserve">. It is clear that if smaller households wished to live in smaller housing, they have very little opportunity to do so.  While </w:t>
      </w:r>
      <w:r>
        <w:rPr>
          <w:sz w:val="22"/>
          <w:szCs w:val="22"/>
        </w:rPr>
        <w:t>5</w:t>
      </w:r>
      <w:r w:rsidR="008E6E53">
        <w:rPr>
          <w:sz w:val="22"/>
          <w:szCs w:val="22"/>
        </w:rPr>
        <w:t>1.4</w:t>
      </w:r>
      <w:r w:rsidRPr="00763078">
        <w:rPr>
          <w:sz w:val="22"/>
          <w:szCs w:val="22"/>
        </w:rPr>
        <w:t xml:space="preserve">% of households in </w:t>
      </w:r>
      <w:r>
        <w:rPr>
          <w:sz w:val="22"/>
          <w:szCs w:val="22"/>
        </w:rPr>
        <w:t xml:space="preserve">the </w:t>
      </w:r>
      <w:r w:rsidR="008E6E53">
        <w:rPr>
          <w:sz w:val="22"/>
          <w:szCs w:val="22"/>
        </w:rPr>
        <w:t>Far West</w:t>
      </w:r>
      <w:r w:rsidRPr="00763078">
        <w:rPr>
          <w:sz w:val="22"/>
          <w:szCs w:val="22"/>
        </w:rPr>
        <w:t xml:space="preserve"> are lone person or couple only (</w:t>
      </w:r>
      <w:r>
        <w:rPr>
          <w:sz w:val="22"/>
          <w:szCs w:val="22"/>
        </w:rPr>
        <w:t>below the 53.8% average for the Rest of NSW</w:t>
      </w:r>
      <w:r w:rsidRPr="00763078">
        <w:rPr>
          <w:sz w:val="22"/>
          <w:szCs w:val="22"/>
        </w:rPr>
        <w:t xml:space="preserve">), only </w:t>
      </w:r>
      <w:r w:rsidR="008E6E53">
        <w:rPr>
          <w:sz w:val="22"/>
          <w:szCs w:val="22"/>
        </w:rPr>
        <w:t>5.6</w:t>
      </w:r>
      <w:r w:rsidRPr="00763078">
        <w:rPr>
          <w:sz w:val="22"/>
          <w:szCs w:val="22"/>
        </w:rPr>
        <w:t>% of dwelling</w:t>
      </w:r>
      <w:r>
        <w:rPr>
          <w:sz w:val="22"/>
          <w:szCs w:val="22"/>
        </w:rPr>
        <w:t xml:space="preserve"> stock is studio or one bedroom (</w:t>
      </w:r>
      <w:r w:rsidR="008E6E53">
        <w:rPr>
          <w:sz w:val="22"/>
          <w:szCs w:val="22"/>
        </w:rPr>
        <w:t>above</w:t>
      </w:r>
      <w:r>
        <w:rPr>
          <w:sz w:val="22"/>
          <w:szCs w:val="22"/>
        </w:rPr>
        <w:t xml:space="preserve"> the 4.5% on average in the Rest of NSW).</w:t>
      </w:r>
    </w:p>
    <w:p w14:paraId="355AECD8" w14:textId="77777777" w:rsidR="000C1756" w:rsidRPr="00763078" w:rsidRDefault="000C1756" w:rsidP="000C1756">
      <w:pPr>
        <w:numPr>
          <w:ilvl w:val="0"/>
          <w:numId w:val="9"/>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7C3CEB17" w14:textId="77777777" w:rsidR="000C1756" w:rsidRDefault="000C1756" w:rsidP="000C1756">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w:t>
      </w:r>
      <w:r w:rsidR="008E6E53">
        <w:rPr>
          <w:sz w:val="22"/>
          <w:szCs w:val="22"/>
        </w:rPr>
        <w:t>Far West</w:t>
      </w:r>
      <w:r>
        <w:rPr>
          <w:sz w:val="22"/>
          <w:szCs w:val="22"/>
        </w:rPr>
        <w:t xml:space="preserve"> is forecast to have an increase in older age groups.</w:t>
      </w:r>
    </w:p>
    <w:p w14:paraId="4813BC47" w14:textId="77777777" w:rsidR="000C1756" w:rsidRDefault="000C1756" w:rsidP="008E6E53">
      <w:pPr>
        <w:spacing w:before="0" w:after="0"/>
        <w:rPr>
          <w:sz w:val="22"/>
          <w:szCs w:val="22"/>
        </w:rPr>
      </w:pPr>
    </w:p>
    <w:p w14:paraId="382AD16D" w14:textId="77777777" w:rsidR="00A20E9D" w:rsidRDefault="00A20E9D" w:rsidP="00A20E9D">
      <w:pPr>
        <w:spacing w:before="0" w:after="0"/>
        <w:jc w:val="both"/>
        <w:rPr>
          <w:sz w:val="22"/>
          <w:szCs w:val="22"/>
        </w:rPr>
      </w:pPr>
    </w:p>
    <w:p w14:paraId="5DB11012" w14:textId="77777777" w:rsidR="00A20E9D" w:rsidRDefault="00A20E9D" w:rsidP="000C1756">
      <w:pPr>
        <w:spacing w:before="0" w:after="0"/>
        <w:jc w:val="both"/>
        <w:rPr>
          <w:sz w:val="22"/>
          <w:szCs w:val="22"/>
        </w:rPr>
      </w:pPr>
    </w:p>
    <w:p w14:paraId="6CC27BB2" w14:textId="77777777" w:rsidR="000C1756" w:rsidRDefault="000C1756" w:rsidP="000C1756">
      <w:pPr>
        <w:spacing w:before="0" w:after="0"/>
        <w:jc w:val="both"/>
        <w:rPr>
          <w:sz w:val="22"/>
          <w:szCs w:val="22"/>
        </w:rPr>
      </w:pPr>
    </w:p>
    <w:p w14:paraId="7C1050D9" w14:textId="77777777" w:rsidR="000C1756" w:rsidRDefault="00A628D5" w:rsidP="000C1756">
      <w:pPr>
        <w:spacing w:before="0" w:after="0"/>
        <w:jc w:val="both"/>
        <w:rPr>
          <w:sz w:val="22"/>
          <w:szCs w:val="22"/>
        </w:rPr>
      </w:pPr>
      <w:r>
        <w:rPr>
          <w:noProof/>
          <w:sz w:val="22"/>
          <w:szCs w:val="22"/>
        </w:rPr>
        <w:drawing>
          <wp:inline distT="0" distB="0" distL="0" distR="0" wp14:anchorId="6534103D" wp14:editId="195FF052">
            <wp:extent cx="5700395" cy="3291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395" cy="3291840"/>
                    </a:xfrm>
                    <a:prstGeom prst="rect">
                      <a:avLst/>
                    </a:prstGeom>
                    <a:noFill/>
                  </pic:spPr>
                </pic:pic>
              </a:graphicData>
            </a:graphic>
          </wp:inline>
        </w:drawing>
      </w:r>
    </w:p>
    <w:p w14:paraId="18FA9855" w14:textId="77777777" w:rsidR="000C1756" w:rsidRDefault="000C1756" w:rsidP="000C1756">
      <w:pPr>
        <w:spacing w:before="0" w:after="0"/>
        <w:jc w:val="both"/>
        <w:rPr>
          <w:sz w:val="22"/>
          <w:szCs w:val="22"/>
        </w:rPr>
      </w:pPr>
    </w:p>
    <w:p w14:paraId="60B2C653" w14:textId="77777777" w:rsidR="00E7022C" w:rsidRPr="00E7022C" w:rsidRDefault="00393BA1" w:rsidP="00E7022C">
      <w:pPr>
        <w:numPr>
          <w:ilvl w:val="0"/>
          <w:numId w:val="9"/>
        </w:numPr>
        <w:spacing w:before="0" w:after="0"/>
        <w:rPr>
          <w:sz w:val="22"/>
          <w:szCs w:val="22"/>
        </w:rPr>
      </w:pPr>
      <w:r>
        <w:rPr>
          <w:sz w:val="22"/>
          <w:szCs w:val="22"/>
        </w:rPr>
        <w:t>T</w:t>
      </w:r>
      <w:r w:rsidRPr="000327FB">
        <w:rPr>
          <w:sz w:val="22"/>
          <w:szCs w:val="22"/>
        </w:rPr>
        <w:t>here has been</w:t>
      </w:r>
      <w:r>
        <w:rPr>
          <w:sz w:val="22"/>
          <w:szCs w:val="22"/>
        </w:rPr>
        <w:t xml:space="preserve"> a loss in every bedroom category of occupied private dwellings, except for four bedroom homes,</w:t>
      </w:r>
      <w:r w:rsidR="008933FE">
        <w:rPr>
          <w:sz w:val="22"/>
          <w:szCs w:val="22"/>
        </w:rPr>
        <w:t xml:space="preserve"> </w:t>
      </w:r>
      <w:r>
        <w:rPr>
          <w:sz w:val="22"/>
          <w:szCs w:val="22"/>
        </w:rPr>
        <w:t>in the Far West between the 2016 and 2021 Census</w:t>
      </w:r>
      <w:r w:rsidRPr="000327FB">
        <w:rPr>
          <w:sz w:val="22"/>
          <w:szCs w:val="22"/>
        </w:rPr>
        <w:t xml:space="preserve">.  </w:t>
      </w:r>
      <w:r>
        <w:rPr>
          <w:sz w:val="22"/>
          <w:szCs w:val="22"/>
        </w:rPr>
        <w:t>By far the greatest loss has been in studio dwellings, as the graph below shows</w:t>
      </w:r>
      <w:r w:rsidRPr="000327FB">
        <w:rPr>
          <w:sz w:val="22"/>
          <w:szCs w:val="22"/>
        </w:rPr>
        <w:t>.</w:t>
      </w:r>
      <w:r w:rsidR="00E7022C">
        <w:rPr>
          <w:sz w:val="22"/>
          <w:szCs w:val="22"/>
        </w:rPr>
        <w:t xml:space="preserve">  As this is a measure of the number of bedrooms in occupied private dwellings – this is not so much a loss as a measure of population decline and the fact that some dwellings are no longer occupied as a result.</w:t>
      </w:r>
    </w:p>
    <w:p w14:paraId="456F4900" w14:textId="77777777" w:rsidR="000C1756" w:rsidRDefault="000C1756" w:rsidP="000C1756">
      <w:pPr>
        <w:spacing w:before="0" w:after="0"/>
        <w:jc w:val="both"/>
        <w:rPr>
          <w:sz w:val="22"/>
          <w:szCs w:val="22"/>
        </w:rPr>
      </w:pPr>
    </w:p>
    <w:p w14:paraId="59505F96" w14:textId="77777777" w:rsidR="00393BA1" w:rsidRDefault="00393BA1" w:rsidP="000C1756">
      <w:pPr>
        <w:spacing w:before="0" w:after="0"/>
        <w:jc w:val="both"/>
        <w:rPr>
          <w:sz w:val="22"/>
          <w:szCs w:val="22"/>
        </w:rPr>
      </w:pPr>
      <w:r>
        <w:rPr>
          <w:noProof/>
          <w:sz w:val="22"/>
          <w:szCs w:val="22"/>
        </w:rPr>
        <w:drawing>
          <wp:inline distT="0" distB="0" distL="0" distR="0" wp14:anchorId="10932C72" wp14:editId="791CBCCB">
            <wp:extent cx="5956300" cy="322516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6300" cy="3225165"/>
                    </a:xfrm>
                    <a:prstGeom prst="rect">
                      <a:avLst/>
                    </a:prstGeom>
                    <a:noFill/>
                  </pic:spPr>
                </pic:pic>
              </a:graphicData>
            </a:graphic>
          </wp:inline>
        </w:drawing>
      </w:r>
    </w:p>
    <w:p w14:paraId="7B6FEE7B" w14:textId="77777777" w:rsidR="000C1756" w:rsidRDefault="000C1756" w:rsidP="000C1756">
      <w:pPr>
        <w:spacing w:before="0" w:after="0"/>
        <w:jc w:val="both"/>
        <w:rPr>
          <w:sz w:val="22"/>
          <w:szCs w:val="22"/>
        </w:rPr>
      </w:pPr>
    </w:p>
    <w:p w14:paraId="101CE198" w14:textId="77777777" w:rsidR="00266BCA" w:rsidRPr="005323EA" w:rsidRDefault="00266BCA" w:rsidP="00266BCA">
      <w:pPr>
        <w:numPr>
          <w:ilvl w:val="0"/>
          <w:numId w:val="15"/>
        </w:numPr>
        <w:tabs>
          <w:tab w:val="clear" w:pos="720"/>
          <w:tab w:val="num" w:pos="360"/>
        </w:tabs>
        <w:spacing w:before="0" w:after="0"/>
        <w:ind w:left="360"/>
        <w:rPr>
          <w:sz w:val="22"/>
          <w:szCs w:val="22"/>
        </w:rPr>
      </w:pPr>
      <w:r w:rsidRPr="005323EA">
        <w:rPr>
          <w:sz w:val="22"/>
          <w:szCs w:val="22"/>
        </w:rPr>
        <w:lastRenderedPageBreak/>
        <w:t xml:space="preserve">The next graph compares larger household types – couple family with children, one parent family and group households – with the amount of three and four or more bedroom accommodation available.  It is clear that there is more than adequate supply of larger homes for families and group households in the </w:t>
      </w:r>
      <w:r w:rsidR="005323EA">
        <w:rPr>
          <w:sz w:val="22"/>
          <w:szCs w:val="22"/>
        </w:rPr>
        <w:t>Far West</w:t>
      </w:r>
      <w:r w:rsidRPr="005323EA">
        <w:rPr>
          <w:sz w:val="22"/>
          <w:szCs w:val="22"/>
        </w:rPr>
        <w:t xml:space="preserve"> region.</w:t>
      </w:r>
    </w:p>
    <w:p w14:paraId="3F072FE7" w14:textId="77777777" w:rsidR="000C1756" w:rsidRDefault="000C1756" w:rsidP="000C1756">
      <w:pPr>
        <w:spacing w:before="0" w:after="0"/>
        <w:jc w:val="both"/>
        <w:rPr>
          <w:sz w:val="22"/>
          <w:szCs w:val="22"/>
        </w:rPr>
      </w:pPr>
    </w:p>
    <w:p w14:paraId="11C586CA" w14:textId="77777777" w:rsidR="00A628D5" w:rsidRDefault="008E6E53" w:rsidP="000C1756">
      <w:pPr>
        <w:spacing w:before="0" w:after="0"/>
        <w:jc w:val="both"/>
        <w:rPr>
          <w:sz w:val="22"/>
          <w:szCs w:val="22"/>
        </w:rPr>
      </w:pPr>
      <w:r>
        <w:rPr>
          <w:noProof/>
          <w:sz w:val="22"/>
          <w:szCs w:val="22"/>
        </w:rPr>
        <w:drawing>
          <wp:inline distT="0" distB="0" distL="0" distR="0" wp14:anchorId="5E83BE77" wp14:editId="7F2ECBD8">
            <wp:extent cx="5688330" cy="32797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8330" cy="3279775"/>
                    </a:xfrm>
                    <a:prstGeom prst="rect">
                      <a:avLst/>
                    </a:prstGeom>
                    <a:noFill/>
                  </pic:spPr>
                </pic:pic>
              </a:graphicData>
            </a:graphic>
          </wp:inline>
        </w:drawing>
      </w:r>
    </w:p>
    <w:p w14:paraId="61D0AD00" w14:textId="77777777" w:rsidR="00A628D5" w:rsidRDefault="00A628D5" w:rsidP="000C1756">
      <w:pPr>
        <w:spacing w:before="0" w:after="0"/>
        <w:jc w:val="both"/>
        <w:rPr>
          <w:sz w:val="22"/>
          <w:szCs w:val="22"/>
        </w:rPr>
      </w:pPr>
    </w:p>
    <w:p w14:paraId="1D89CCFE" w14:textId="77777777" w:rsidR="00A628D5" w:rsidRDefault="00A628D5" w:rsidP="000C1756">
      <w:pPr>
        <w:spacing w:before="0" w:after="0"/>
        <w:jc w:val="both"/>
        <w:rPr>
          <w:sz w:val="22"/>
          <w:szCs w:val="22"/>
        </w:rPr>
      </w:pPr>
    </w:p>
    <w:p w14:paraId="4A89E6A4" w14:textId="77777777" w:rsidR="00D4589E" w:rsidRPr="00C3366F" w:rsidRDefault="00BD1982" w:rsidP="00625C7A">
      <w:pPr>
        <w:numPr>
          <w:ilvl w:val="0"/>
          <w:numId w:val="9"/>
        </w:numPr>
        <w:spacing w:before="0" w:after="0"/>
        <w:jc w:val="both"/>
        <w:rPr>
          <w:sz w:val="22"/>
          <w:szCs w:val="22"/>
        </w:rPr>
      </w:pPr>
      <w:r w:rsidRPr="00C3366F">
        <w:rPr>
          <w:sz w:val="22"/>
          <w:szCs w:val="22"/>
        </w:rPr>
        <w:t xml:space="preserve">Older age cohorts are forecast to increase in the </w:t>
      </w:r>
      <w:r w:rsidR="00D4589E" w:rsidRPr="00C3366F">
        <w:rPr>
          <w:sz w:val="22"/>
          <w:szCs w:val="22"/>
        </w:rPr>
        <w:t>Far West</w:t>
      </w:r>
      <w:r w:rsidRPr="00C3366F">
        <w:rPr>
          <w:sz w:val="22"/>
          <w:szCs w:val="22"/>
        </w:rPr>
        <w:t>.</w:t>
      </w:r>
      <w:r w:rsidR="00C3366F" w:rsidRPr="00C3366F">
        <w:rPr>
          <w:sz w:val="22"/>
          <w:szCs w:val="22"/>
        </w:rPr>
        <w:t xml:space="preserve">  </w:t>
      </w:r>
      <w:r w:rsidR="00D4589E" w:rsidRPr="00C3366F">
        <w:rPr>
          <w:sz w:val="22"/>
          <w:szCs w:val="22"/>
        </w:rPr>
        <w:t>This suggests a need for housing that meets the need of older residents.</w:t>
      </w:r>
      <w:r w:rsidR="00E93C80">
        <w:rPr>
          <w:sz w:val="22"/>
          <w:szCs w:val="22"/>
        </w:rPr>
        <w:t xml:space="preserve">  </w:t>
      </w:r>
    </w:p>
    <w:p w14:paraId="27620E87" w14:textId="77777777" w:rsidR="003313A4" w:rsidRPr="00C3366F" w:rsidRDefault="00BD1982" w:rsidP="00071823">
      <w:pPr>
        <w:numPr>
          <w:ilvl w:val="0"/>
          <w:numId w:val="9"/>
        </w:numPr>
        <w:spacing w:before="0" w:after="0"/>
        <w:rPr>
          <w:sz w:val="22"/>
          <w:szCs w:val="22"/>
        </w:rPr>
      </w:pPr>
      <w:r w:rsidRPr="00C3366F">
        <w:rPr>
          <w:sz w:val="22"/>
          <w:szCs w:val="22"/>
        </w:rPr>
        <w:t xml:space="preserve">There is already a significant mismatch between household type and bedroom number across the </w:t>
      </w:r>
      <w:r w:rsidR="007361CB" w:rsidRPr="00C3366F">
        <w:rPr>
          <w:sz w:val="22"/>
          <w:szCs w:val="22"/>
        </w:rPr>
        <w:t>region</w:t>
      </w:r>
      <w:r w:rsidRPr="00C3366F">
        <w:rPr>
          <w:sz w:val="22"/>
          <w:szCs w:val="22"/>
        </w:rPr>
        <w:t>.  With an increase in smaller households</w:t>
      </w:r>
      <w:r w:rsidR="005E0F2F" w:rsidRPr="00C3366F">
        <w:rPr>
          <w:sz w:val="22"/>
          <w:szCs w:val="22"/>
        </w:rPr>
        <w:t xml:space="preserve"> likely through the ageing of the population</w:t>
      </w:r>
      <w:r w:rsidRPr="00C3366F">
        <w:rPr>
          <w:sz w:val="22"/>
          <w:szCs w:val="22"/>
        </w:rPr>
        <w:t xml:space="preserve">, this disparity will only worsen unless proactive measures are taken to increase the supply of studio, one and two bedroom homes.  This will enable some measure of choice to smaller households and give older residents some options to downsize.  </w:t>
      </w:r>
    </w:p>
    <w:p w14:paraId="77D40890" w14:textId="77777777" w:rsidR="00040E8D" w:rsidRPr="00C3366F" w:rsidRDefault="00040E8D" w:rsidP="00B7302F">
      <w:pPr>
        <w:numPr>
          <w:ilvl w:val="0"/>
          <w:numId w:val="15"/>
        </w:numPr>
        <w:tabs>
          <w:tab w:val="clear" w:pos="720"/>
          <w:tab w:val="num" w:pos="360"/>
        </w:tabs>
        <w:spacing w:before="0" w:after="0"/>
        <w:ind w:left="360"/>
        <w:rPr>
          <w:sz w:val="22"/>
          <w:szCs w:val="22"/>
        </w:rPr>
      </w:pPr>
      <w:r w:rsidRPr="00C3366F">
        <w:rPr>
          <w:sz w:val="22"/>
          <w:szCs w:val="22"/>
        </w:rPr>
        <w:t>Secondary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1C596D02" w14:textId="77777777" w:rsidR="00040E8D" w:rsidRPr="00C3366F" w:rsidRDefault="0012127A" w:rsidP="008852EE">
      <w:pPr>
        <w:numPr>
          <w:ilvl w:val="0"/>
          <w:numId w:val="15"/>
        </w:numPr>
        <w:tabs>
          <w:tab w:val="clear" w:pos="720"/>
          <w:tab w:val="num" w:pos="360"/>
        </w:tabs>
        <w:spacing w:before="0" w:after="0"/>
        <w:ind w:left="360"/>
        <w:rPr>
          <w:sz w:val="22"/>
          <w:szCs w:val="22"/>
        </w:rPr>
      </w:pPr>
      <w:r w:rsidRPr="00C3366F">
        <w:rPr>
          <w:sz w:val="22"/>
          <w:szCs w:val="22"/>
        </w:rPr>
        <w:t>New generation boarding houses would also help fulfil</w:t>
      </w:r>
      <w:r w:rsidR="0050209D" w:rsidRPr="00C3366F">
        <w:rPr>
          <w:sz w:val="22"/>
          <w:szCs w:val="22"/>
        </w:rPr>
        <w:t xml:space="preserve"> some of</w:t>
      </w:r>
      <w:r w:rsidRPr="00C3366F">
        <w:rPr>
          <w:sz w:val="22"/>
          <w:szCs w:val="22"/>
        </w:rPr>
        <w:t xml:space="preserve"> this demand – particularly as they cannot be subdivided and must provide rental accommodation.  </w:t>
      </w:r>
      <w:r w:rsidR="00040E8D" w:rsidRPr="00C3366F">
        <w:rPr>
          <w:sz w:val="22"/>
          <w:szCs w:val="22"/>
        </w:rPr>
        <w:t xml:space="preserve">This type of accommodation is suitable for single people and also couples, for key </w:t>
      </w:r>
      <w:r w:rsidR="006C584A" w:rsidRPr="00C3366F">
        <w:rPr>
          <w:sz w:val="22"/>
          <w:szCs w:val="22"/>
        </w:rPr>
        <w:t>workers and students.  It also has potential to assist in providing accommodation/meeting additional housing demand for seasonal workers and mine workers.</w:t>
      </w:r>
    </w:p>
    <w:p w14:paraId="2DB7A066" w14:textId="77777777" w:rsidR="001A6F48" w:rsidRPr="00C3366F" w:rsidRDefault="00662B0E" w:rsidP="001A6F48">
      <w:pPr>
        <w:pStyle w:val="ListParagraph"/>
        <w:numPr>
          <w:ilvl w:val="0"/>
          <w:numId w:val="26"/>
        </w:numPr>
        <w:spacing w:before="0" w:after="0"/>
        <w:rPr>
          <w:szCs w:val="22"/>
        </w:rPr>
      </w:pPr>
      <w:r w:rsidRPr="00C3366F">
        <w:rPr>
          <w:sz w:val="22"/>
          <w:szCs w:val="20"/>
        </w:rPr>
        <w:t xml:space="preserve">It is important to encourage the provision of more diverse housing, more smaller dwellings, </w:t>
      </w:r>
      <w:r w:rsidR="001A6F48" w:rsidRPr="00C3366F">
        <w:rPr>
          <w:sz w:val="22"/>
          <w:szCs w:val="20"/>
        </w:rPr>
        <w:t xml:space="preserve">to maintain a balance to meet local need, </w:t>
      </w:r>
      <w:r w:rsidR="001A6F48" w:rsidRPr="00C3366F">
        <w:rPr>
          <w:sz w:val="22"/>
          <w:szCs w:val="22"/>
        </w:rPr>
        <w:t>particularly where there are higher proportions of seniors and frail aged.  This will give older residents opportunity to downsize into more manageable and appropriate homes</w:t>
      </w:r>
      <w:r w:rsidRPr="00C3366F">
        <w:rPr>
          <w:sz w:val="22"/>
          <w:szCs w:val="22"/>
        </w:rPr>
        <w:t>.</w:t>
      </w:r>
    </w:p>
    <w:p w14:paraId="78912525" w14:textId="77777777" w:rsidR="00C62CB2" w:rsidRPr="00C3366F" w:rsidRDefault="00C62CB2" w:rsidP="001A6F48">
      <w:pPr>
        <w:pStyle w:val="ListParagraph"/>
        <w:numPr>
          <w:ilvl w:val="0"/>
          <w:numId w:val="26"/>
        </w:numPr>
        <w:spacing w:before="0" w:after="0"/>
        <w:rPr>
          <w:szCs w:val="22"/>
        </w:rPr>
      </w:pPr>
      <w:r w:rsidRPr="00C3366F">
        <w:rPr>
          <w:sz w:val="22"/>
          <w:szCs w:val="22"/>
        </w:rPr>
        <w:lastRenderedPageBreak/>
        <w:t>Two bedroom homes are the most flexible as they suit single person, couple and small family households and also allow smaller households to have space for visitors or live in carers.</w:t>
      </w:r>
    </w:p>
    <w:p w14:paraId="734AF034" w14:textId="77777777" w:rsidR="001A6F48" w:rsidRPr="003C09C1" w:rsidRDefault="001A6F48" w:rsidP="00502A1B">
      <w:pPr>
        <w:spacing w:before="0" w:after="0"/>
        <w:rPr>
          <w:sz w:val="22"/>
          <w:szCs w:val="22"/>
          <w:highlight w:val="yellow"/>
        </w:rPr>
      </w:pPr>
    </w:p>
    <w:p w14:paraId="1CEDED29" w14:textId="77777777" w:rsidR="00F60312" w:rsidRPr="003C09C1" w:rsidRDefault="00F60312" w:rsidP="00F60312">
      <w:pPr>
        <w:rPr>
          <w:sz w:val="20"/>
          <w:szCs w:val="20"/>
          <w:highlight w:val="yellow"/>
        </w:rPr>
      </w:pPr>
    </w:p>
    <w:p w14:paraId="6EAFF185" w14:textId="77777777" w:rsidR="00502A1B" w:rsidRPr="003C09C1" w:rsidRDefault="00502A1B" w:rsidP="00502A1B">
      <w:pPr>
        <w:spacing w:before="0" w:after="0"/>
        <w:rPr>
          <w:szCs w:val="22"/>
          <w:highlight w:val="yellow"/>
        </w:rPr>
      </w:pPr>
    </w:p>
    <w:p w14:paraId="6ED15AEC" w14:textId="77777777" w:rsidR="00F45BEA" w:rsidRPr="00E03506" w:rsidRDefault="00F45BEA" w:rsidP="00F45BEA">
      <w:pPr>
        <w:rPr>
          <w:b/>
        </w:rPr>
      </w:pPr>
      <w:r w:rsidRPr="00E03506">
        <w:rPr>
          <w:b/>
        </w:rPr>
        <w:t>Who needs affordable housing</w:t>
      </w:r>
    </w:p>
    <w:p w14:paraId="709A073E" w14:textId="77777777" w:rsidR="00E03506" w:rsidRPr="00E134C4" w:rsidRDefault="00E03506" w:rsidP="00E03506">
      <w:pPr>
        <w:pStyle w:val="ListParagraph"/>
        <w:numPr>
          <w:ilvl w:val="0"/>
          <w:numId w:val="6"/>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6014CAEF" w14:textId="77777777" w:rsidR="00E03506" w:rsidRPr="00A41469" w:rsidRDefault="00E03506" w:rsidP="00E03506">
      <w:pPr>
        <w:pStyle w:val="ListParagraph"/>
        <w:numPr>
          <w:ilvl w:val="0"/>
          <w:numId w:val="6"/>
        </w:numPr>
        <w:rPr>
          <w:sz w:val="22"/>
          <w:szCs w:val="22"/>
        </w:rPr>
      </w:pPr>
      <w:r w:rsidRPr="00A41469">
        <w:rPr>
          <w:sz w:val="22"/>
          <w:szCs w:val="22"/>
        </w:rPr>
        <w:t xml:space="preserve">People working in accommodation and food services comprise </w:t>
      </w:r>
      <w:r w:rsidR="003E3B73">
        <w:rPr>
          <w:sz w:val="22"/>
          <w:szCs w:val="22"/>
        </w:rPr>
        <w:t>7</w:t>
      </w:r>
      <w:r w:rsidRPr="00A41469">
        <w:rPr>
          <w:sz w:val="22"/>
          <w:szCs w:val="22"/>
        </w:rPr>
        <w:t xml:space="preserve">.6% of the workforce living in the </w:t>
      </w:r>
      <w:r w:rsidR="003E3B73">
        <w:rPr>
          <w:sz w:val="22"/>
          <w:szCs w:val="22"/>
        </w:rPr>
        <w:t>Far</w:t>
      </w:r>
      <w:r w:rsidRPr="00A41469">
        <w:rPr>
          <w:sz w:val="22"/>
          <w:szCs w:val="22"/>
        </w:rPr>
        <w:t xml:space="preserve"> West and are amongst the lowest paid workers.  Similarly retail trade employs 8.</w:t>
      </w:r>
      <w:r w:rsidR="003E3B73">
        <w:rPr>
          <w:sz w:val="22"/>
          <w:szCs w:val="22"/>
        </w:rPr>
        <w:t>5</w:t>
      </w:r>
      <w:r w:rsidRPr="00A41469">
        <w:rPr>
          <w:sz w:val="22"/>
          <w:szCs w:val="22"/>
        </w:rPr>
        <w:t xml:space="preserve">% of workers living in the </w:t>
      </w:r>
      <w:r w:rsidR="003E3B73">
        <w:rPr>
          <w:sz w:val="22"/>
          <w:szCs w:val="22"/>
        </w:rPr>
        <w:t>Far</w:t>
      </w:r>
      <w:r w:rsidRPr="00A41469">
        <w:rPr>
          <w:sz w:val="22"/>
          <w:szCs w:val="22"/>
        </w:rPr>
        <w:t xml:space="preserve"> West and</w:t>
      </w:r>
      <w:r w:rsidR="003E3B73">
        <w:rPr>
          <w:sz w:val="22"/>
          <w:szCs w:val="22"/>
        </w:rPr>
        <w:t xml:space="preserve"> as noted above retail sales assistants are low income earners</w:t>
      </w:r>
      <w:r w:rsidRPr="00A41469">
        <w:rPr>
          <w:sz w:val="22"/>
          <w:szCs w:val="22"/>
        </w:rPr>
        <w:t xml:space="preserve">.  Health care and social assistance is the largest employment sector of residents in the </w:t>
      </w:r>
      <w:r w:rsidR="003E3B73">
        <w:rPr>
          <w:sz w:val="22"/>
          <w:szCs w:val="22"/>
        </w:rPr>
        <w:t>Far</w:t>
      </w:r>
      <w:r w:rsidRPr="00A41469">
        <w:rPr>
          <w:sz w:val="22"/>
          <w:szCs w:val="22"/>
        </w:rPr>
        <w:t xml:space="preserve"> West (employing 15.</w:t>
      </w:r>
      <w:r w:rsidR="003E3B73">
        <w:rPr>
          <w:sz w:val="22"/>
          <w:szCs w:val="22"/>
        </w:rPr>
        <w:t>0%) and agriculture is the second largest employment sector of residents (employing 12.6%)</w:t>
      </w:r>
      <w:r w:rsidRPr="00A41469">
        <w:rPr>
          <w:sz w:val="22"/>
          <w:szCs w:val="22"/>
        </w:rPr>
        <w:t>.</w:t>
      </w:r>
    </w:p>
    <w:p w14:paraId="18BA24F1" w14:textId="77777777" w:rsidR="00E03506" w:rsidRPr="00DA38F3" w:rsidRDefault="003E3B73" w:rsidP="00E03506">
      <w:pPr>
        <w:pStyle w:val="ListParagraph"/>
        <w:numPr>
          <w:ilvl w:val="0"/>
          <w:numId w:val="6"/>
        </w:numPr>
        <w:rPr>
          <w:sz w:val="22"/>
          <w:szCs w:val="22"/>
        </w:rPr>
      </w:pPr>
      <w:r>
        <w:rPr>
          <w:sz w:val="22"/>
        </w:rPr>
        <w:t>As examples of rental costs relative to income</w:t>
      </w:r>
      <w:r w:rsidR="00E03506">
        <w:rPr>
          <w:sz w:val="22"/>
        </w:rPr>
        <w:t>:</w:t>
      </w:r>
    </w:p>
    <w:p w14:paraId="3827FD87" w14:textId="77777777" w:rsidR="00E03506" w:rsidRPr="00DA38F3" w:rsidRDefault="00E03506" w:rsidP="00E03506">
      <w:pPr>
        <w:pStyle w:val="ListParagraph"/>
        <w:numPr>
          <w:ilvl w:val="1"/>
          <w:numId w:val="6"/>
        </w:numPr>
        <w:rPr>
          <w:sz w:val="22"/>
          <w:szCs w:val="22"/>
        </w:rPr>
      </w:pPr>
      <w:r>
        <w:rPr>
          <w:sz w:val="22"/>
        </w:rPr>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713604EC" w14:textId="77777777" w:rsidR="00E03506" w:rsidRPr="00DA38F3" w:rsidRDefault="00E03506" w:rsidP="00E03506">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4067CC9E" w14:textId="77777777" w:rsidR="00E03506" w:rsidRDefault="00E03506" w:rsidP="00E03506">
      <w:pPr>
        <w:pStyle w:val="ListParagraph"/>
        <w:numPr>
          <w:ilvl w:val="1"/>
          <w:numId w:val="6"/>
        </w:numPr>
        <w:rPr>
          <w:sz w:val="22"/>
          <w:szCs w:val="22"/>
        </w:rPr>
      </w:pPr>
      <w:r>
        <w:rPr>
          <w:sz w:val="22"/>
          <w:szCs w:val="22"/>
        </w:rPr>
        <w:t>The average farmhand salary in Australia is $57,311 per annum or $1,102 per week.  A household on that salary could afford to pay $330 per week in rent before being in housing stress.</w:t>
      </w:r>
    </w:p>
    <w:p w14:paraId="69219F0A" w14:textId="77777777" w:rsidR="00E03506" w:rsidRPr="00D64C71" w:rsidRDefault="00E03506" w:rsidP="00E03506">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49DF3413" w14:textId="77777777" w:rsidR="00E03506" w:rsidRPr="005446CE" w:rsidRDefault="00E03506" w:rsidP="00E03506">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12DD96E5" w14:textId="77777777" w:rsidR="00E03506" w:rsidRPr="001B7A31" w:rsidRDefault="00E03506" w:rsidP="00E03506">
      <w:pPr>
        <w:pStyle w:val="ListParagraph"/>
        <w:numPr>
          <w:ilvl w:val="0"/>
          <w:numId w:val="6"/>
        </w:numPr>
        <w:rPr>
          <w:sz w:val="22"/>
          <w:szCs w:val="22"/>
        </w:rPr>
      </w:pPr>
      <w:r w:rsidRPr="001B7A31">
        <w:rPr>
          <w:sz w:val="22"/>
        </w:rPr>
        <w:t xml:space="preserve">At </w:t>
      </w:r>
      <w:r w:rsidR="009E7B8D">
        <w:rPr>
          <w:sz w:val="22"/>
        </w:rPr>
        <w:t>March</w:t>
      </w:r>
      <w:r w:rsidRPr="001B7A31">
        <w:rPr>
          <w:sz w:val="22"/>
        </w:rPr>
        <w:t xml:space="preserve"> 202</w:t>
      </w:r>
      <w:r w:rsidR="009E7B8D">
        <w:rPr>
          <w:sz w:val="22"/>
        </w:rPr>
        <w:t>3</w:t>
      </w:r>
      <w:r w:rsidRPr="001B7A31">
        <w:rPr>
          <w:sz w:val="22"/>
        </w:rPr>
        <w:t>, there were insufficient new bonds lodged to calculate a median rent for studio dwellings in</w:t>
      </w:r>
      <w:r>
        <w:rPr>
          <w:sz w:val="22"/>
        </w:rPr>
        <w:t xml:space="preserve"> any LGA in the </w:t>
      </w:r>
      <w:r w:rsidR="009E7B8D">
        <w:rPr>
          <w:sz w:val="22"/>
        </w:rPr>
        <w:t>Far West</w:t>
      </w:r>
      <w:r>
        <w:rPr>
          <w:sz w:val="22"/>
        </w:rPr>
        <w:t xml:space="preserve">, </w:t>
      </w:r>
      <w:r w:rsidR="009E7B8D">
        <w:rPr>
          <w:sz w:val="22"/>
        </w:rPr>
        <w:t xml:space="preserve">Broken Hill was the only LGA with sufficient new bonds lodged to calculate a median rent for one bedroom and four bedroom homes, only Broken Hill and Wentworth had a median rent for two bedroom homes, only Broken Hill and Cobar had a median rent for three bedroom homes and Walgett </w:t>
      </w:r>
      <w:r w:rsidR="005D15A4">
        <w:rPr>
          <w:sz w:val="22"/>
        </w:rPr>
        <w:t xml:space="preserve">only </w:t>
      </w:r>
      <w:r w:rsidR="009E7B8D">
        <w:rPr>
          <w:sz w:val="22"/>
        </w:rPr>
        <w:t xml:space="preserve">had a median rent for all dwellings (including all bedroom types) </w:t>
      </w:r>
      <w:r w:rsidRPr="001B7A31">
        <w:rPr>
          <w:sz w:val="22"/>
        </w:rPr>
        <w:t>– which speaks to lack of supply</w:t>
      </w:r>
      <w:r w:rsidR="009E7B8D">
        <w:rPr>
          <w:sz w:val="22"/>
        </w:rPr>
        <w:t xml:space="preserve"> in the rental market</w:t>
      </w:r>
      <w:r w:rsidRPr="001B7A31">
        <w:rPr>
          <w:sz w:val="22"/>
        </w:rPr>
        <w:t>.</w:t>
      </w:r>
    </w:p>
    <w:p w14:paraId="59F2886F" w14:textId="77777777" w:rsidR="00E03506" w:rsidRPr="00A017D9" w:rsidRDefault="00E03506" w:rsidP="00E03506">
      <w:pPr>
        <w:pStyle w:val="ListParagraph"/>
        <w:numPr>
          <w:ilvl w:val="0"/>
          <w:numId w:val="6"/>
        </w:numPr>
        <w:rPr>
          <w:sz w:val="22"/>
          <w:szCs w:val="22"/>
        </w:rPr>
      </w:pPr>
      <w:r w:rsidRPr="001B7A31">
        <w:rPr>
          <w:sz w:val="22"/>
        </w:rPr>
        <w:t xml:space="preserve">At </w:t>
      </w:r>
      <w:r w:rsidR="009E7B8D">
        <w:rPr>
          <w:sz w:val="22"/>
        </w:rPr>
        <w:t>March</w:t>
      </w:r>
      <w:r w:rsidRPr="001B7A31">
        <w:rPr>
          <w:sz w:val="22"/>
        </w:rPr>
        <w:t xml:space="preserve"> 202</w:t>
      </w:r>
      <w:r w:rsidR="009E7B8D">
        <w:rPr>
          <w:sz w:val="22"/>
        </w:rPr>
        <w:t>3</w:t>
      </w:r>
      <w:r w:rsidRPr="001B7A31">
        <w:rPr>
          <w:sz w:val="22"/>
        </w:rPr>
        <w:t xml:space="preserve">, the median rent for a one bedroom home in </w:t>
      </w:r>
      <w:r w:rsidR="009E7B8D">
        <w:rPr>
          <w:sz w:val="22"/>
        </w:rPr>
        <w:t>Broken Hill</w:t>
      </w:r>
      <w:r>
        <w:rPr>
          <w:sz w:val="22"/>
        </w:rPr>
        <w:t xml:space="preserve"> was $</w:t>
      </w:r>
      <w:r w:rsidR="009E7B8D">
        <w:rPr>
          <w:sz w:val="22"/>
        </w:rPr>
        <w:t>180</w:t>
      </w:r>
      <w:r>
        <w:rPr>
          <w:sz w:val="22"/>
        </w:rPr>
        <w:t xml:space="preserve"> per week</w:t>
      </w:r>
      <w:r w:rsidRPr="001B7A31">
        <w:rPr>
          <w:sz w:val="22"/>
        </w:rPr>
        <w:t>; for a two bedroom home</w:t>
      </w:r>
      <w:r w:rsidR="009E7B8D">
        <w:rPr>
          <w:sz w:val="22"/>
        </w:rPr>
        <w:t xml:space="preserve"> was $245 in Wentworth and $260 in Broken Hill</w:t>
      </w:r>
      <w:r w:rsidRPr="001B7A31">
        <w:rPr>
          <w:sz w:val="22"/>
        </w:rPr>
        <w:t xml:space="preserve">; for a three bedroom </w:t>
      </w:r>
      <w:r>
        <w:rPr>
          <w:sz w:val="22"/>
        </w:rPr>
        <w:t>home</w:t>
      </w:r>
      <w:r w:rsidR="009E7B8D">
        <w:rPr>
          <w:sz w:val="22"/>
        </w:rPr>
        <w:t xml:space="preserve"> was $275 in Cobar and $330 in Broken Hill</w:t>
      </w:r>
      <w:r w:rsidRPr="001B7A31">
        <w:rPr>
          <w:sz w:val="22"/>
        </w:rPr>
        <w:t>; and for a four or more bedroom home</w:t>
      </w:r>
      <w:r w:rsidR="009E7B8D">
        <w:rPr>
          <w:sz w:val="22"/>
        </w:rPr>
        <w:t xml:space="preserve"> was $450</w:t>
      </w:r>
      <w:r w:rsidR="00162BCD">
        <w:rPr>
          <w:sz w:val="22"/>
        </w:rPr>
        <w:t xml:space="preserve"> per week</w:t>
      </w:r>
      <w:r w:rsidR="009E7B8D">
        <w:rPr>
          <w:sz w:val="22"/>
        </w:rPr>
        <w:t xml:space="preserve"> in Broken H</w:t>
      </w:r>
      <w:r w:rsidR="00162BCD">
        <w:rPr>
          <w:sz w:val="22"/>
        </w:rPr>
        <w:t>i</w:t>
      </w:r>
      <w:r w:rsidR="009E7B8D">
        <w:rPr>
          <w:sz w:val="22"/>
        </w:rPr>
        <w:t>ll</w:t>
      </w:r>
      <w:r>
        <w:rPr>
          <w:sz w:val="22"/>
        </w:rPr>
        <w:t>.</w:t>
      </w:r>
      <w:r w:rsidR="00162BCD">
        <w:rPr>
          <w:sz w:val="22"/>
        </w:rPr>
        <w:t xml:space="preserve">  The median rent in Walgett was $270 per week</w:t>
      </w:r>
      <w:r w:rsidR="005D15A4">
        <w:rPr>
          <w:sz w:val="22"/>
        </w:rPr>
        <w:t>.</w:t>
      </w:r>
    </w:p>
    <w:p w14:paraId="486901D6" w14:textId="77777777" w:rsidR="00E03506" w:rsidRPr="00A017D9" w:rsidRDefault="00162BCD" w:rsidP="00E03506">
      <w:pPr>
        <w:pStyle w:val="ListParagraph"/>
        <w:numPr>
          <w:ilvl w:val="0"/>
          <w:numId w:val="6"/>
        </w:numPr>
        <w:rPr>
          <w:sz w:val="22"/>
          <w:szCs w:val="22"/>
        </w:rPr>
      </w:pPr>
      <w:r>
        <w:rPr>
          <w:sz w:val="22"/>
        </w:rPr>
        <w:t xml:space="preserve">The lack of new bonds lodged suggests that while rents may be generally affordable, households looking to rent a property may struggle to find much or even any choice.  Low income families may also struggle to find affordable rental </w:t>
      </w:r>
      <w:r>
        <w:rPr>
          <w:sz w:val="22"/>
        </w:rPr>
        <w:lastRenderedPageBreak/>
        <w:t>in Broken Hill</w:t>
      </w:r>
      <w:r w:rsidR="00E03506">
        <w:rPr>
          <w:sz w:val="22"/>
        </w:rPr>
        <w:t>.</w:t>
      </w:r>
      <w:r w:rsidR="00A64CEC">
        <w:rPr>
          <w:sz w:val="22"/>
        </w:rPr>
        <w:t xml:space="preserve">  Note that there are significant proportions of the population living in poverty in the Far West and this includes people on a full time wage.</w:t>
      </w:r>
    </w:p>
    <w:p w14:paraId="7F783DB7" w14:textId="77777777" w:rsidR="00162BCD" w:rsidRDefault="00162BCD" w:rsidP="00E03506">
      <w:pPr>
        <w:pStyle w:val="ListParagraph"/>
        <w:numPr>
          <w:ilvl w:val="0"/>
          <w:numId w:val="6"/>
        </w:numPr>
        <w:rPr>
          <w:sz w:val="22"/>
        </w:rPr>
      </w:pPr>
      <w:r>
        <w:rPr>
          <w:sz w:val="22"/>
        </w:rPr>
        <w:t xml:space="preserve">Homelessness and </w:t>
      </w:r>
      <w:r w:rsidR="00AA002E">
        <w:rPr>
          <w:sz w:val="22"/>
        </w:rPr>
        <w:t>marginal</w:t>
      </w:r>
      <w:r>
        <w:rPr>
          <w:sz w:val="22"/>
        </w:rPr>
        <w:t xml:space="preserve"> housing is an issue in this region and Aboriginal residents are overrepresented in the homeless population.</w:t>
      </w:r>
    </w:p>
    <w:p w14:paraId="42E4808E" w14:textId="77777777" w:rsidR="00E03506" w:rsidRPr="00714E45" w:rsidRDefault="00E03506" w:rsidP="00E03506">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532490CA" w14:textId="77777777" w:rsidR="00A629DD" w:rsidRPr="003C09C1" w:rsidRDefault="00A629DD" w:rsidP="00F45BEA">
      <w:pPr>
        <w:rPr>
          <w:b/>
          <w:color w:val="008000"/>
          <w:sz w:val="32"/>
          <w:highlight w:val="yellow"/>
        </w:rPr>
      </w:pPr>
    </w:p>
    <w:p w14:paraId="3CD380FB" w14:textId="77777777" w:rsidR="00AD7F0C" w:rsidRDefault="00AD7F0C" w:rsidP="00F45BEA">
      <w:pPr>
        <w:rPr>
          <w:sz w:val="22"/>
          <w:szCs w:val="22"/>
        </w:rPr>
      </w:pPr>
    </w:p>
    <w:p w14:paraId="1907F0BB" w14:textId="77777777" w:rsidR="005B1D8C" w:rsidRPr="00654A33" w:rsidRDefault="005B1D8C" w:rsidP="005B1D8C">
      <w:pPr>
        <w:rPr>
          <w:b/>
          <w:color w:val="008000"/>
          <w:sz w:val="32"/>
        </w:rPr>
      </w:pPr>
      <w:r w:rsidRPr="00654A33">
        <w:rPr>
          <w:b/>
          <w:color w:val="008000"/>
          <w:sz w:val="32"/>
        </w:rPr>
        <w:t>Additional Data</w:t>
      </w:r>
    </w:p>
    <w:p w14:paraId="60AAFDB7" w14:textId="77777777" w:rsidR="00A64CEC" w:rsidRPr="009F0937" w:rsidRDefault="00A64CEC" w:rsidP="00A64CEC">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1AD42FC6" w14:textId="77777777" w:rsidR="00A64CEC" w:rsidRDefault="009B4F59" w:rsidP="00A64CEC">
      <w:pPr>
        <w:rPr>
          <w:sz w:val="22"/>
          <w:szCs w:val="22"/>
        </w:rPr>
      </w:pPr>
      <w:hyperlink r:id="rId27" w:history="1">
        <w:r w:rsidR="00A64CEC" w:rsidRPr="00E8412F">
          <w:rPr>
            <w:rStyle w:val="Hyperlink"/>
            <w:sz w:val="22"/>
            <w:szCs w:val="22"/>
          </w:rPr>
          <w:t>https://www.facs.nsw.gov.au/resources/nsw-local-government-housing-kit/chapters/local-government-housing-kit-database</w:t>
        </w:r>
      </w:hyperlink>
    </w:p>
    <w:p w14:paraId="59396DAF" w14:textId="77777777" w:rsidR="00A64CEC" w:rsidRPr="009F0937" w:rsidRDefault="00A64CEC" w:rsidP="00A64CEC">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0B31B99B" w14:textId="77777777" w:rsidR="00A64CEC" w:rsidRDefault="009B4F59" w:rsidP="00A64CEC">
      <w:pPr>
        <w:rPr>
          <w:sz w:val="22"/>
          <w:szCs w:val="22"/>
        </w:rPr>
      </w:pPr>
      <w:hyperlink r:id="rId28" w:history="1">
        <w:r w:rsidR="00A64CEC" w:rsidRPr="00E8412F">
          <w:rPr>
            <w:rStyle w:val="Hyperlink"/>
            <w:sz w:val="22"/>
            <w:szCs w:val="22"/>
          </w:rPr>
          <w:t>https://www.facs.nsw.gov.au/housing/help/applying-assistance/expected-waiting-times</w:t>
        </w:r>
      </w:hyperlink>
    </w:p>
    <w:p w14:paraId="0DAA196C" w14:textId="77777777" w:rsidR="00A64CEC" w:rsidRPr="009C452F" w:rsidRDefault="00A64CEC" w:rsidP="00A64CEC">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519DFADB" w14:textId="77777777" w:rsidR="00A64CEC" w:rsidRDefault="009B4F59" w:rsidP="00A64CEC">
      <w:pPr>
        <w:rPr>
          <w:sz w:val="22"/>
          <w:szCs w:val="22"/>
        </w:rPr>
      </w:pPr>
      <w:hyperlink r:id="rId29" w:history="1">
        <w:r w:rsidR="00A64CEC" w:rsidRPr="00E8412F">
          <w:rPr>
            <w:rStyle w:val="Hyperlink"/>
            <w:sz w:val="22"/>
            <w:szCs w:val="22"/>
          </w:rPr>
          <w:t>https://www.facs.nsw.gov.au/resources/statistics/social-housing-residential-dwellings/facs-quarterly-statistics-social-housing-dwellings</w:t>
        </w:r>
      </w:hyperlink>
    </w:p>
    <w:p w14:paraId="34AD8D5C" w14:textId="77777777" w:rsidR="00A64CEC" w:rsidRDefault="00A64CEC" w:rsidP="00A64CEC">
      <w:pPr>
        <w:rPr>
          <w:sz w:val="22"/>
          <w:szCs w:val="22"/>
        </w:rPr>
      </w:pPr>
      <w:r>
        <w:rPr>
          <w:sz w:val="22"/>
          <w:szCs w:val="22"/>
        </w:rPr>
        <w:t>or go straight to the dashboard:</w:t>
      </w:r>
    </w:p>
    <w:p w14:paraId="0114C82F" w14:textId="77777777" w:rsidR="00A64CEC" w:rsidRDefault="009B4F59" w:rsidP="00A64CEC">
      <w:pPr>
        <w:rPr>
          <w:sz w:val="22"/>
          <w:szCs w:val="22"/>
        </w:rPr>
      </w:pPr>
      <w:hyperlink r:id="rId30" w:history="1">
        <w:r w:rsidR="00A64CEC" w:rsidRPr="00E8412F">
          <w:rPr>
            <w:rStyle w:val="Hyperlink"/>
            <w:sz w:val="22"/>
            <w:szCs w:val="22"/>
          </w:rPr>
          <w:t>https://public.tableau.com/app/profile/facs.statistics/viz/Social_Housing_Residential_Dwellings/Dashboard</w:t>
        </w:r>
      </w:hyperlink>
    </w:p>
    <w:p w14:paraId="15506AAD" w14:textId="77777777" w:rsidR="00A64CEC" w:rsidRDefault="00A64CEC" w:rsidP="00A64CEC">
      <w:pPr>
        <w:rPr>
          <w:sz w:val="22"/>
          <w:szCs w:val="22"/>
        </w:rPr>
      </w:pPr>
      <w:r>
        <w:rPr>
          <w:sz w:val="22"/>
          <w:szCs w:val="22"/>
        </w:rPr>
        <w:t>and</w:t>
      </w:r>
    </w:p>
    <w:p w14:paraId="491919C8" w14:textId="77777777" w:rsidR="00A64CEC" w:rsidRDefault="009B4F59" w:rsidP="00A64CEC">
      <w:pPr>
        <w:rPr>
          <w:sz w:val="22"/>
          <w:szCs w:val="22"/>
        </w:rPr>
      </w:pPr>
      <w:hyperlink r:id="rId31" w:history="1">
        <w:r w:rsidR="00A64CEC" w:rsidRPr="00E8412F">
          <w:rPr>
            <w:rStyle w:val="Hyperlink"/>
            <w:sz w:val="22"/>
            <w:szCs w:val="22"/>
          </w:rPr>
          <w:t>https://www.facs.nsw.gov.au/resources/statistics/social-housing-delivery2/interactive-dashboard</w:t>
        </w:r>
      </w:hyperlink>
    </w:p>
    <w:p w14:paraId="62FEF611" w14:textId="77777777" w:rsidR="00A64CEC" w:rsidRDefault="00A64CEC" w:rsidP="00A64CEC">
      <w:pPr>
        <w:rPr>
          <w:sz w:val="22"/>
          <w:szCs w:val="22"/>
        </w:rPr>
      </w:pPr>
      <w:r>
        <w:rPr>
          <w:sz w:val="22"/>
          <w:szCs w:val="22"/>
        </w:rPr>
        <w:t>The Australian Housing and Urban Research Institute (AHURI) has written a paper explaining the reasons for unoccupied homes:</w:t>
      </w:r>
    </w:p>
    <w:p w14:paraId="6A32DB9D" w14:textId="77777777" w:rsidR="00A64CEC" w:rsidRDefault="009B4F59" w:rsidP="00A64CEC">
      <w:pPr>
        <w:rPr>
          <w:rStyle w:val="Hyperlink"/>
          <w:sz w:val="22"/>
          <w:szCs w:val="22"/>
        </w:rPr>
      </w:pPr>
      <w:hyperlink r:id="rId32" w:history="1">
        <w:r w:rsidR="00A64CEC" w:rsidRPr="003F77F2">
          <w:rPr>
            <w:rStyle w:val="Hyperlink"/>
            <w:sz w:val="22"/>
            <w:szCs w:val="22"/>
          </w:rPr>
          <w:t>https://www.ahuri.edu.au/research/brief/are-there-1-million-empty-homes-and-13-million-unused-bedrooms</w:t>
        </w:r>
      </w:hyperlink>
    </w:p>
    <w:p w14:paraId="3C201663" w14:textId="77777777" w:rsidR="006431C3" w:rsidRDefault="006431C3" w:rsidP="006431C3">
      <w:pPr>
        <w:rPr>
          <w:sz w:val="22"/>
          <w:szCs w:val="22"/>
        </w:rPr>
      </w:pPr>
      <w:r>
        <w:rPr>
          <w:sz w:val="22"/>
          <w:szCs w:val="22"/>
        </w:rPr>
        <w:t>The Australian Institute of Health and Welfare (AIHW) information on the quality of Indigenous Housing:</w:t>
      </w:r>
    </w:p>
    <w:p w14:paraId="3607B393" w14:textId="77777777" w:rsidR="006431C3" w:rsidRDefault="009B4F59" w:rsidP="006431C3">
      <w:pPr>
        <w:rPr>
          <w:sz w:val="22"/>
          <w:szCs w:val="22"/>
        </w:rPr>
      </w:pPr>
      <w:hyperlink r:id="rId33" w:history="1">
        <w:r w:rsidR="006431C3" w:rsidRPr="00A91CF0">
          <w:rPr>
            <w:rStyle w:val="Hyperlink"/>
            <w:sz w:val="22"/>
            <w:szCs w:val="22"/>
          </w:rPr>
          <w:t>https://www.aihw.gov.au/reports/australias-welfare/indigenous-housing</w:t>
        </w:r>
      </w:hyperlink>
    </w:p>
    <w:p w14:paraId="6080DF8C" w14:textId="77777777" w:rsidR="005D0518" w:rsidRDefault="005D0518" w:rsidP="00A64CEC">
      <w:pPr>
        <w:rPr>
          <w:sz w:val="22"/>
          <w:szCs w:val="22"/>
        </w:rPr>
      </w:pPr>
      <w:r>
        <w:rPr>
          <w:sz w:val="22"/>
          <w:szCs w:val="22"/>
        </w:rPr>
        <w:t>NSW Council of Social Service study April 2023 Mapping Economic Disadvantage in NSW – 2021 is here:</w:t>
      </w:r>
    </w:p>
    <w:p w14:paraId="4B0CF332" w14:textId="77777777" w:rsidR="005D0518" w:rsidRDefault="009B4F59" w:rsidP="00A64CEC">
      <w:pPr>
        <w:rPr>
          <w:sz w:val="22"/>
          <w:szCs w:val="22"/>
        </w:rPr>
      </w:pPr>
      <w:hyperlink r:id="rId34" w:history="1">
        <w:r w:rsidR="005D0518" w:rsidRPr="008C532B">
          <w:rPr>
            <w:rStyle w:val="Hyperlink"/>
            <w:sz w:val="22"/>
            <w:szCs w:val="22"/>
          </w:rPr>
          <w:t>https://www.ncoss.org.au/policy-advocacy/policy-research-publications/mapping-economic-disadvantage-in-nsw/</w:t>
        </w:r>
      </w:hyperlink>
    </w:p>
    <w:p w14:paraId="4ADAB03C" w14:textId="77777777" w:rsidR="00A64CEC" w:rsidRDefault="00A64CEC" w:rsidP="00A64CEC">
      <w:pPr>
        <w:rPr>
          <w:sz w:val="22"/>
          <w:szCs w:val="22"/>
        </w:rPr>
      </w:pPr>
      <w:r>
        <w:rPr>
          <w:sz w:val="22"/>
          <w:szCs w:val="22"/>
        </w:rPr>
        <w:t>The SGS Economics and Planning Rental Affordability Index is here:</w:t>
      </w:r>
    </w:p>
    <w:p w14:paraId="42A7DD4A" w14:textId="77777777" w:rsidR="00A64CEC" w:rsidRDefault="009B4F59" w:rsidP="00A64CEC">
      <w:pPr>
        <w:rPr>
          <w:sz w:val="22"/>
          <w:szCs w:val="22"/>
        </w:rPr>
      </w:pPr>
      <w:hyperlink r:id="rId35" w:history="1">
        <w:r w:rsidR="00A64CEC" w:rsidRPr="00496966">
          <w:rPr>
            <w:rStyle w:val="Hyperlink"/>
            <w:sz w:val="22"/>
            <w:szCs w:val="22"/>
          </w:rPr>
          <w:t>https://sgsep.com.au/projects/rental-affordability-index</w:t>
        </w:r>
      </w:hyperlink>
    </w:p>
    <w:p w14:paraId="3CE14483" w14:textId="77777777" w:rsidR="00A64CEC" w:rsidRPr="0016082E" w:rsidRDefault="00A64CEC" w:rsidP="00A64CEC">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290E2D42" w14:textId="77777777" w:rsidR="00A64CEC" w:rsidRDefault="00A64CEC" w:rsidP="00A64CEC">
      <w:pPr>
        <w:rPr>
          <w:sz w:val="22"/>
          <w:szCs w:val="22"/>
        </w:rPr>
      </w:pPr>
      <w:r>
        <w:rPr>
          <w:sz w:val="22"/>
          <w:szCs w:val="22"/>
        </w:rPr>
        <w:t>NSW CHIA Snapshot of the Community Housing Sector in NSW:</w:t>
      </w:r>
    </w:p>
    <w:p w14:paraId="1FEB0463" w14:textId="77777777" w:rsidR="00A64CEC" w:rsidRDefault="009B4F59" w:rsidP="00A64CEC">
      <w:pPr>
        <w:rPr>
          <w:sz w:val="22"/>
          <w:szCs w:val="22"/>
        </w:rPr>
      </w:pPr>
      <w:hyperlink r:id="rId36" w:history="1">
        <w:r w:rsidR="00A64CEC" w:rsidRPr="00E8412F">
          <w:rPr>
            <w:rStyle w:val="Hyperlink"/>
            <w:sz w:val="22"/>
            <w:szCs w:val="22"/>
          </w:rPr>
          <w:t>https://communityhousing.org.au/wp-content/uploads/2022/08/Community-Housing-Snapshot-2022.pdf</w:t>
        </w:r>
      </w:hyperlink>
    </w:p>
    <w:p w14:paraId="1614016A" w14:textId="77777777" w:rsidR="00A64CEC" w:rsidRDefault="00A64CEC" w:rsidP="00A64CEC">
      <w:pPr>
        <w:rPr>
          <w:sz w:val="22"/>
          <w:szCs w:val="22"/>
        </w:rPr>
      </w:pPr>
      <w:r>
        <w:rPr>
          <w:sz w:val="22"/>
          <w:szCs w:val="22"/>
        </w:rPr>
        <w:t>Data on community housing properties is available from the NSW CHIA Dashboard at:</w:t>
      </w:r>
    </w:p>
    <w:p w14:paraId="188702DF" w14:textId="77777777" w:rsidR="00A64CEC" w:rsidRDefault="009B4F59" w:rsidP="00A64CEC">
      <w:pPr>
        <w:rPr>
          <w:sz w:val="22"/>
          <w:szCs w:val="22"/>
        </w:rPr>
      </w:pPr>
      <w:hyperlink r:id="rId37" w:history="1">
        <w:r w:rsidR="00A64CEC" w:rsidRPr="00D1697C">
          <w:rPr>
            <w:rStyle w:val="Hyperlink"/>
            <w:sz w:val="22"/>
            <w:szCs w:val="22"/>
          </w:rPr>
          <w:t>https://communityhousing.org.au/our-impact/data-dashboard/</w:t>
        </w:r>
      </w:hyperlink>
    </w:p>
    <w:p w14:paraId="0E85E3CE" w14:textId="77777777" w:rsidR="00A64CEC" w:rsidRDefault="00A64CEC" w:rsidP="00A64CEC">
      <w:pPr>
        <w:rPr>
          <w:sz w:val="22"/>
          <w:szCs w:val="22"/>
        </w:rPr>
      </w:pPr>
      <w:r>
        <w:rPr>
          <w:sz w:val="22"/>
          <w:szCs w:val="22"/>
        </w:rPr>
        <w:t>(Note that this is not a full data set as CHIA does not represent all community housing providers in NSW).</w:t>
      </w:r>
    </w:p>
    <w:p w14:paraId="4181118E" w14:textId="77777777" w:rsidR="00A64CEC" w:rsidRDefault="00A64CEC" w:rsidP="00A64CEC">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0F8B4583" w14:textId="77777777" w:rsidR="00A64CEC" w:rsidRPr="0045718D" w:rsidRDefault="00A64CEC" w:rsidP="00A64CEC">
      <w:pPr>
        <w:rPr>
          <w:rStyle w:val="Hyperlink"/>
          <w:sz w:val="22"/>
          <w:szCs w:val="22"/>
        </w:rPr>
      </w:pPr>
      <w:r w:rsidRPr="007F60F2">
        <w:rPr>
          <w:rStyle w:val="Hyperlink"/>
          <w:sz w:val="22"/>
          <w:szCs w:val="22"/>
        </w:rPr>
        <w:t>https://communityhousing.org.au/toolkit/theplatform.html</w:t>
      </w:r>
    </w:p>
    <w:p w14:paraId="6CF66CA8" w14:textId="77777777" w:rsidR="00A64CEC" w:rsidRPr="00E70866" w:rsidRDefault="00A64CEC" w:rsidP="00A64CEC">
      <w:pPr>
        <w:rPr>
          <w:sz w:val="22"/>
          <w:szCs w:val="22"/>
        </w:rPr>
      </w:pPr>
      <w:r w:rsidRPr="00E70866">
        <w:rPr>
          <w:sz w:val="22"/>
          <w:szCs w:val="22"/>
        </w:rPr>
        <w:t>The NSW Registrar of Community Housing website is here:</w:t>
      </w:r>
    </w:p>
    <w:p w14:paraId="44B36078" w14:textId="77777777" w:rsidR="00A64CEC" w:rsidRPr="00E70866" w:rsidRDefault="009B4F59" w:rsidP="00A64CEC">
      <w:pPr>
        <w:rPr>
          <w:rStyle w:val="Hyperlink"/>
          <w:sz w:val="22"/>
          <w:szCs w:val="22"/>
        </w:rPr>
      </w:pPr>
      <w:hyperlink r:id="rId38" w:history="1">
        <w:r w:rsidR="00A64CEC" w:rsidRPr="00E70866">
          <w:rPr>
            <w:rStyle w:val="Hyperlink"/>
            <w:sz w:val="22"/>
            <w:szCs w:val="22"/>
          </w:rPr>
          <w:t>https://www.rch.nsw.gov.au/</w:t>
        </w:r>
      </w:hyperlink>
    </w:p>
    <w:p w14:paraId="3088A3C0" w14:textId="77777777" w:rsidR="00A64CEC" w:rsidRDefault="00A64CEC" w:rsidP="002E1321">
      <w:pPr>
        <w:rPr>
          <w:sz w:val="22"/>
          <w:szCs w:val="22"/>
        </w:rPr>
      </w:pPr>
    </w:p>
    <w:p w14:paraId="04FED385" w14:textId="77777777" w:rsidR="00A64CEC" w:rsidRDefault="00A64CEC" w:rsidP="002E1321">
      <w:pPr>
        <w:rPr>
          <w:sz w:val="22"/>
          <w:szCs w:val="22"/>
        </w:rPr>
      </w:pPr>
    </w:p>
    <w:p w14:paraId="3F0555D4" w14:textId="77777777" w:rsidR="00A64CEC" w:rsidRDefault="00A64CEC" w:rsidP="002E1321">
      <w:pPr>
        <w:rPr>
          <w:sz w:val="22"/>
          <w:szCs w:val="22"/>
        </w:rPr>
      </w:pPr>
    </w:p>
    <w:p w14:paraId="4ABA8EEA" w14:textId="77777777" w:rsidR="00A64CEC" w:rsidRDefault="00A64CEC" w:rsidP="002E1321">
      <w:pPr>
        <w:rPr>
          <w:sz w:val="22"/>
          <w:szCs w:val="22"/>
        </w:rPr>
      </w:pPr>
    </w:p>
    <w:p w14:paraId="72098C3C" w14:textId="77777777" w:rsidR="00A64CEC" w:rsidRDefault="00A64CEC" w:rsidP="002E1321">
      <w:pPr>
        <w:rPr>
          <w:sz w:val="22"/>
          <w:szCs w:val="22"/>
        </w:rPr>
      </w:pPr>
    </w:p>
    <w:p w14:paraId="7355C2D8" w14:textId="77777777" w:rsidR="002E1321" w:rsidRDefault="002E1321" w:rsidP="002E1321"/>
    <w:p w14:paraId="3C20CBC9" w14:textId="77777777" w:rsidR="00AB6BB4" w:rsidRDefault="00AB6BB4" w:rsidP="00AB6BB4">
      <w:pPr>
        <w:rPr>
          <w:sz w:val="22"/>
          <w:szCs w:val="22"/>
        </w:rPr>
      </w:pPr>
    </w:p>
    <w:p w14:paraId="5136A679" w14:textId="77777777" w:rsidR="00AB6BB4" w:rsidRPr="00496691" w:rsidRDefault="00AB6BB4" w:rsidP="00F45BEA">
      <w:pPr>
        <w:rPr>
          <w:sz w:val="22"/>
          <w:szCs w:val="22"/>
        </w:rPr>
      </w:pPr>
    </w:p>
    <w:sectPr w:rsidR="00AB6BB4" w:rsidRPr="00496691" w:rsidSect="00BB657B">
      <w:headerReference w:type="default" r:id="rId39"/>
      <w:footerReference w:type="default" r:id="rId40"/>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E2A3" w14:textId="77777777" w:rsidR="00FF0771" w:rsidRDefault="00FF0771">
      <w:r>
        <w:separator/>
      </w:r>
    </w:p>
  </w:endnote>
  <w:endnote w:type="continuationSeparator" w:id="0">
    <w:p w14:paraId="510F7451" w14:textId="77777777" w:rsidR="00FF0771" w:rsidRDefault="00F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8752" w14:textId="77777777" w:rsidR="00FF0771" w:rsidRPr="00EC070F" w:rsidRDefault="00FF0771">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1DE5" w14:textId="77777777" w:rsidR="00FF0771" w:rsidRDefault="00FF0771">
      <w:r>
        <w:separator/>
      </w:r>
    </w:p>
  </w:footnote>
  <w:footnote w:type="continuationSeparator" w:id="0">
    <w:p w14:paraId="5007D255" w14:textId="77777777" w:rsidR="00FF0771" w:rsidRDefault="00FF0771">
      <w:r>
        <w:continuationSeparator/>
      </w:r>
    </w:p>
  </w:footnote>
  <w:footnote w:id="1">
    <w:p w14:paraId="5857DE83" w14:textId="77777777" w:rsidR="001653D4" w:rsidRDefault="001653D4">
      <w:pPr>
        <w:pStyle w:val="FootnoteText"/>
      </w:pPr>
      <w:r>
        <w:rPr>
          <w:rStyle w:val="FootnoteReference"/>
        </w:rPr>
        <w:footnoteRef/>
      </w:r>
      <w:r>
        <w:t xml:space="preserve"> </w:t>
      </w:r>
      <w:hyperlink r:id="rId1" w:history="1">
        <w:r w:rsidRPr="00CD5CB7">
          <w:rPr>
            <w:rStyle w:val="Hyperlink"/>
          </w:rPr>
          <w:t>https://www.ncoss.org.au/wp-content/uploads/2023/04/NCOSS_final-report-25-Apr-2023.pdf</w:t>
        </w:r>
      </w:hyperlink>
    </w:p>
    <w:p w14:paraId="3E001A63" w14:textId="77777777" w:rsidR="001653D4" w:rsidRDefault="001653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98D6" w14:textId="77777777" w:rsidR="00FF0771" w:rsidRDefault="00FF0771" w:rsidP="00555F5C">
    <w:pPr>
      <w:pStyle w:val="Factsheet"/>
      <w:ind w:left="7200"/>
      <w:jc w:val="left"/>
    </w:pPr>
    <w:r>
      <w:rPr>
        <w:noProof/>
      </w:rPr>
      <w:drawing>
        <wp:anchor distT="0" distB="0" distL="114300" distR="114300" simplePos="0" relativeHeight="251659264" behindDoc="1" locked="0" layoutInCell="1" allowOverlap="1" wp14:anchorId="0E9A8F38" wp14:editId="5A75129C">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7B0F22AE" w14:textId="77777777" w:rsidR="00FF0771" w:rsidRPr="001F5B89" w:rsidRDefault="00FF0771"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0644C"/>
    <w:multiLevelType w:val="hybridMultilevel"/>
    <w:tmpl w:val="D58A9F1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6874BD"/>
    <w:multiLevelType w:val="hybridMultilevel"/>
    <w:tmpl w:val="8B84E52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C72958"/>
    <w:multiLevelType w:val="hybridMultilevel"/>
    <w:tmpl w:val="AE84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A4F98"/>
    <w:multiLevelType w:val="hybridMultilevel"/>
    <w:tmpl w:val="30E63F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897241"/>
    <w:multiLevelType w:val="hybridMultilevel"/>
    <w:tmpl w:val="B874DD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4C4A12"/>
    <w:multiLevelType w:val="hybridMultilevel"/>
    <w:tmpl w:val="75BC32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656817B1"/>
    <w:multiLevelType w:val="hybridMultilevel"/>
    <w:tmpl w:val="0F905F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A37150"/>
    <w:multiLevelType w:val="hybridMultilevel"/>
    <w:tmpl w:val="308CF87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967BD6"/>
    <w:multiLevelType w:val="hybridMultilevel"/>
    <w:tmpl w:val="3A867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924DEA"/>
    <w:multiLevelType w:val="hybridMultilevel"/>
    <w:tmpl w:val="906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0C20BF"/>
    <w:multiLevelType w:val="hybridMultilevel"/>
    <w:tmpl w:val="5DBEDF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7867E0"/>
    <w:multiLevelType w:val="hybridMultilevel"/>
    <w:tmpl w:val="9E441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3083908">
    <w:abstractNumId w:val="26"/>
  </w:num>
  <w:num w:numId="2" w16cid:durableId="1808626371">
    <w:abstractNumId w:val="34"/>
  </w:num>
  <w:num w:numId="3" w16cid:durableId="1718046517">
    <w:abstractNumId w:val="9"/>
  </w:num>
  <w:num w:numId="4" w16cid:durableId="287856189">
    <w:abstractNumId w:val="6"/>
  </w:num>
  <w:num w:numId="5" w16cid:durableId="1519809061">
    <w:abstractNumId w:val="14"/>
  </w:num>
  <w:num w:numId="6" w16cid:durableId="954675255">
    <w:abstractNumId w:val="1"/>
  </w:num>
  <w:num w:numId="7" w16cid:durableId="1309360862">
    <w:abstractNumId w:val="16"/>
  </w:num>
  <w:num w:numId="8" w16cid:durableId="120463049">
    <w:abstractNumId w:val="4"/>
  </w:num>
  <w:num w:numId="9" w16cid:durableId="1511140060">
    <w:abstractNumId w:val="29"/>
  </w:num>
  <w:num w:numId="10" w16cid:durableId="2031948166">
    <w:abstractNumId w:val="8"/>
  </w:num>
  <w:num w:numId="11" w16cid:durableId="9331849">
    <w:abstractNumId w:val="20"/>
  </w:num>
  <w:num w:numId="12" w16cid:durableId="992758505">
    <w:abstractNumId w:val="18"/>
  </w:num>
  <w:num w:numId="13" w16cid:durableId="1284384438">
    <w:abstractNumId w:val="5"/>
  </w:num>
  <w:num w:numId="14" w16cid:durableId="477697412">
    <w:abstractNumId w:val="27"/>
  </w:num>
  <w:num w:numId="15" w16cid:durableId="1943948623">
    <w:abstractNumId w:val="25"/>
  </w:num>
  <w:num w:numId="16" w16cid:durableId="1995140711">
    <w:abstractNumId w:val="7"/>
  </w:num>
  <w:num w:numId="17" w16cid:durableId="1793594923">
    <w:abstractNumId w:val="21"/>
  </w:num>
  <w:num w:numId="18" w16cid:durableId="1954556538">
    <w:abstractNumId w:val="32"/>
  </w:num>
  <w:num w:numId="19" w16cid:durableId="1931236878">
    <w:abstractNumId w:val="33"/>
  </w:num>
  <w:num w:numId="20" w16cid:durableId="1969436006">
    <w:abstractNumId w:val="17"/>
  </w:num>
  <w:num w:numId="21" w16cid:durableId="7413414">
    <w:abstractNumId w:val="3"/>
  </w:num>
  <w:num w:numId="22" w16cid:durableId="1101606278">
    <w:abstractNumId w:val="13"/>
  </w:num>
  <w:num w:numId="23" w16cid:durableId="2088720813">
    <w:abstractNumId w:val="24"/>
  </w:num>
  <w:num w:numId="24" w16cid:durableId="767627877">
    <w:abstractNumId w:val="31"/>
  </w:num>
  <w:num w:numId="25" w16cid:durableId="1084767069">
    <w:abstractNumId w:val="30"/>
  </w:num>
  <w:num w:numId="26" w16cid:durableId="1122112809">
    <w:abstractNumId w:val="15"/>
  </w:num>
  <w:num w:numId="27" w16cid:durableId="1593780985">
    <w:abstractNumId w:val="12"/>
  </w:num>
  <w:num w:numId="28" w16cid:durableId="1105345476">
    <w:abstractNumId w:val="28"/>
  </w:num>
  <w:num w:numId="29" w16cid:durableId="1994136619">
    <w:abstractNumId w:val="10"/>
  </w:num>
  <w:num w:numId="30" w16cid:durableId="563296080">
    <w:abstractNumId w:val="11"/>
  </w:num>
  <w:num w:numId="31" w16cid:durableId="791947830">
    <w:abstractNumId w:val="19"/>
  </w:num>
  <w:num w:numId="32" w16cid:durableId="1522620805">
    <w:abstractNumId w:val="22"/>
  </w:num>
  <w:num w:numId="33" w16cid:durableId="1860585407">
    <w:abstractNumId w:val="23"/>
  </w:num>
  <w:num w:numId="34" w16cid:durableId="1081415051">
    <w:abstractNumId w:val="0"/>
  </w:num>
  <w:num w:numId="35" w16cid:durableId="729770451">
    <w:abstractNumId w:val="2"/>
  </w:num>
  <w:num w:numId="36" w16cid:durableId="189958598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40"/>
    <w:rsid w:val="00001E3E"/>
    <w:rsid w:val="000020E7"/>
    <w:rsid w:val="00002385"/>
    <w:rsid w:val="0000537C"/>
    <w:rsid w:val="000073E7"/>
    <w:rsid w:val="00011BCE"/>
    <w:rsid w:val="000128F8"/>
    <w:rsid w:val="000148F5"/>
    <w:rsid w:val="00014DFA"/>
    <w:rsid w:val="0001509B"/>
    <w:rsid w:val="0002002B"/>
    <w:rsid w:val="0002385F"/>
    <w:rsid w:val="000238BE"/>
    <w:rsid w:val="00024237"/>
    <w:rsid w:val="00025B62"/>
    <w:rsid w:val="0002652D"/>
    <w:rsid w:val="0002705A"/>
    <w:rsid w:val="000301A0"/>
    <w:rsid w:val="00030840"/>
    <w:rsid w:val="000329C1"/>
    <w:rsid w:val="000331DB"/>
    <w:rsid w:val="00033A9F"/>
    <w:rsid w:val="0003643E"/>
    <w:rsid w:val="000406DD"/>
    <w:rsid w:val="00040E8D"/>
    <w:rsid w:val="000411E5"/>
    <w:rsid w:val="00042AE2"/>
    <w:rsid w:val="00042E77"/>
    <w:rsid w:val="0004492A"/>
    <w:rsid w:val="00044EE7"/>
    <w:rsid w:val="00045AF7"/>
    <w:rsid w:val="00047744"/>
    <w:rsid w:val="00050277"/>
    <w:rsid w:val="000545D9"/>
    <w:rsid w:val="00054D7D"/>
    <w:rsid w:val="000610BC"/>
    <w:rsid w:val="000619FC"/>
    <w:rsid w:val="00062436"/>
    <w:rsid w:val="0006246B"/>
    <w:rsid w:val="00064BA4"/>
    <w:rsid w:val="00067E94"/>
    <w:rsid w:val="00071F45"/>
    <w:rsid w:val="0007285B"/>
    <w:rsid w:val="00072ACB"/>
    <w:rsid w:val="0007502D"/>
    <w:rsid w:val="0007553F"/>
    <w:rsid w:val="00075B28"/>
    <w:rsid w:val="0007698C"/>
    <w:rsid w:val="00077500"/>
    <w:rsid w:val="0007784F"/>
    <w:rsid w:val="000808D2"/>
    <w:rsid w:val="000825C2"/>
    <w:rsid w:val="0008467A"/>
    <w:rsid w:val="00086B8E"/>
    <w:rsid w:val="00094FFA"/>
    <w:rsid w:val="0009596E"/>
    <w:rsid w:val="00095D8D"/>
    <w:rsid w:val="00096208"/>
    <w:rsid w:val="00096A3E"/>
    <w:rsid w:val="00096EE0"/>
    <w:rsid w:val="000A029A"/>
    <w:rsid w:val="000A0F1E"/>
    <w:rsid w:val="000A5290"/>
    <w:rsid w:val="000A5608"/>
    <w:rsid w:val="000A6642"/>
    <w:rsid w:val="000A7162"/>
    <w:rsid w:val="000B0128"/>
    <w:rsid w:val="000B2634"/>
    <w:rsid w:val="000B2A74"/>
    <w:rsid w:val="000B3574"/>
    <w:rsid w:val="000B3A4A"/>
    <w:rsid w:val="000B3FA4"/>
    <w:rsid w:val="000B56D8"/>
    <w:rsid w:val="000B61E9"/>
    <w:rsid w:val="000B66FC"/>
    <w:rsid w:val="000B6935"/>
    <w:rsid w:val="000B7202"/>
    <w:rsid w:val="000B75EB"/>
    <w:rsid w:val="000C0268"/>
    <w:rsid w:val="000C1756"/>
    <w:rsid w:val="000C2E37"/>
    <w:rsid w:val="000C3B4F"/>
    <w:rsid w:val="000C47B7"/>
    <w:rsid w:val="000C662F"/>
    <w:rsid w:val="000C6B1E"/>
    <w:rsid w:val="000D1DC1"/>
    <w:rsid w:val="000D2599"/>
    <w:rsid w:val="000D7FA3"/>
    <w:rsid w:val="000E078B"/>
    <w:rsid w:val="000E182F"/>
    <w:rsid w:val="000E19FD"/>
    <w:rsid w:val="000E1E21"/>
    <w:rsid w:val="000E7008"/>
    <w:rsid w:val="000E7E2B"/>
    <w:rsid w:val="000F053E"/>
    <w:rsid w:val="000F0899"/>
    <w:rsid w:val="000F0FEA"/>
    <w:rsid w:val="000F1B66"/>
    <w:rsid w:val="000F249F"/>
    <w:rsid w:val="000F2715"/>
    <w:rsid w:val="000F2EF2"/>
    <w:rsid w:val="000F3370"/>
    <w:rsid w:val="000F461F"/>
    <w:rsid w:val="000F6603"/>
    <w:rsid w:val="000F6CE6"/>
    <w:rsid w:val="00101958"/>
    <w:rsid w:val="001027BE"/>
    <w:rsid w:val="00102A50"/>
    <w:rsid w:val="00104FC4"/>
    <w:rsid w:val="00112EAC"/>
    <w:rsid w:val="00113B05"/>
    <w:rsid w:val="00116C6A"/>
    <w:rsid w:val="00117158"/>
    <w:rsid w:val="001174B1"/>
    <w:rsid w:val="0012091D"/>
    <w:rsid w:val="0012127A"/>
    <w:rsid w:val="00121977"/>
    <w:rsid w:val="00122CAE"/>
    <w:rsid w:val="0012441C"/>
    <w:rsid w:val="00125C1F"/>
    <w:rsid w:val="0013027E"/>
    <w:rsid w:val="00130C74"/>
    <w:rsid w:val="00131EA4"/>
    <w:rsid w:val="00132F07"/>
    <w:rsid w:val="001344D3"/>
    <w:rsid w:val="001344DC"/>
    <w:rsid w:val="00134648"/>
    <w:rsid w:val="00135905"/>
    <w:rsid w:val="00135F25"/>
    <w:rsid w:val="001369F6"/>
    <w:rsid w:val="00137892"/>
    <w:rsid w:val="00137F70"/>
    <w:rsid w:val="00140885"/>
    <w:rsid w:val="00141726"/>
    <w:rsid w:val="001418E0"/>
    <w:rsid w:val="00141E26"/>
    <w:rsid w:val="00142DBC"/>
    <w:rsid w:val="001441BA"/>
    <w:rsid w:val="00144AA4"/>
    <w:rsid w:val="00146D54"/>
    <w:rsid w:val="00146DD9"/>
    <w:rsid w:val="001501E7"/>
    <w:rsid w:val="0015027F"/>
    <w:rsid w:val="00150EE8"/>
    <w:rsid w:val="00151375"/>
    <w:rsid w:val="001513E0"/>
    <w:rsid w:val="001517A4"/>
    <w:rsid w:val="00152CFA"/>
    <w:rsid w:val="001537A4"/>
    <w:rsid w:val="00156081"/>
    <w:rsid w:val="00156CA2"/>
    <w:rsid w:val="00157E7C"/>
    <w:rsid w:val="00160A86"/>
    <w:rsid w:val="00161DA0"/>
    <w:rsid w:val="00162916"/>
    <w:rsid w:val="00162BCD"/>
    <w:rsid w:val="00162C8E"/>
    <w:rsid w:val="00163113"/>
    <w:rsid w:val="001638C7"/>
    <w:rsid w:val="00163B75"/>
    <w:rsid w:val="001653D4"/>
    <w:rsid w:val="00165BCC"/>
    <w:rsid w:val="0016630F"/>
    <w:rsid w:val="001663F4"/>
    <w:rsid w:val="0016679E"/>
    <w:rsid w:val="001669DC"/>
    <w:rsid w:val="00167B6F"/>
    <w:rsid w:val="0017182A"/>
    <w:rsid w:val="00171F63"/>
    <w:rsid w:val="001742EA"/>
    <w:rsid w:val="00174EB2"/>
    <w:rsid w:val="00175CFF"/>
    <w:rsid w:val="0017634D"/>
    <w:rsid w:val="001769EC"/>
    <w:rsid w:val="001812D7"/>
    <w:rsid w:val="00182CDB"/>
    <w:rsid w:val="00184737"/>
    <w:rsid w:val="00185CC2"/>
    <w:rsid w:val="00187E2B"/>
    <w:rsid w:val="001909CA"/>
    <w:rsid w:val="00195C26"/>
    <w:rsid w:val="00197B58"/>
    <w:rsid w:val="001A0A02"/>
    <w:rsid w:val="001A40D6"/>
    <w:rsid w:val="001A46BC"/>
    <w:rsid w:val="001A6F48"/>
    <w:rsid w:val="001B00B6"/>
    <w:rsid w:val="001B17A1"/>
    <w:rsid w:val="001B27D6"/>
    <w:rsid w:val="001B28FD"/>
    <w:rsid w:val="001B2A55"/>
    <w:rsid w:val="001B2D41"/>
    <w:rsid w:val="001B3A46"/>
    <w:rsid w:val="001B4A6B"/>
    <w:rsid w:val="001B4D62"/>
    <w:rsid w:val="001B79B1"/>
    <w:rsid w:val="001C15E4"/>
    <w:rsid w:val="001C236A"/>
    <w:rsid w:val="001C37D4"/>
    <w:rsid w:val="001C6396"/>
    <w:rsid w:val="001C6D8B"/>
    <w:rsid w:val="001C71A1"/>
    <w:rsid w:val="001D144E"/>
    <w:rsid w:val="001D25EF"/>
    <w:rsid w:val="001D382F"/>
    <w:rsid w:val="001D3CC0"/>
    <w:rsid w:val="001D77A4"/>
    <w:rsid w:val="001E12EE"/>
    <w:rsid w:val="001E1E28"/>
    <w:rsid w:val="001E556C"/>
    <w:rsid w:val="001E783A"/>
    <w:rsid w:val="001F2B5D"/>
    <w:rsid w:val="001F3734"/>
    <w:rsid w:val="001F3B60"/>
    <w:rsid w:val="001F46C1"/>
    <w:rsid w:val="001F5B89"/>
    <w:rsid w:val="001F5E9F"/>
    <w:rsid w:val="002009E3"/>
    <w:rsid w:val="002010FF"/>
    <w:rsid w:val="00201EC7"/>
    <w:rsid w:val="00203AFA"/>
    <w:rsid w:val="00203F4C"/>
    <w:rsid w:val="00206468"/>
    <w:rsid w:val="00207247"/>
    <w:rsid w:val="002102C3"/>
    <w:rsid w:val="0021405C"/>
    <w:rsid w:val="002140CA"/>
    <w:rsid w:val="00215557"/>
    <w:rsid w:val="00217B75"/>
    <w:rsid w:val="00220972"/>
    <w:rsid w:val="00223136"/>
    <w:rsid w:val="00226062"/>
    <w:rsid w:val="00226F44"/>
    <w:rsid w:val="002307C5"/>
    <w:rsid w:val="002329F0"/>
    <w:rsid w:val="0023354E"/>
    <w:rsid w:val="00235151"/>
    <w:rsid w:val="00237B30"/>
    <w:rsid w:val="00240092"/>
    <w:rsid w:val="002407D0"/>
    <w:rsid w:val="002422C8"/>
    <w:rsid w:val="00242742"/>
    <w:rsid w:val="00245811"/>
    <w:rsid w:val="002552D9"/>
    <w:rsid w:val="00255BE1"/>
    <w:rsid w:val="0026232D"/>
    <w:rsid w:val="00262CF8"/>
    <w:rsid w:val="0026359F"/>
    <w:rsid w:val="00263903"/>
    <w:rsid w:val="00265FA9"/>
    <w:rsid w:val="00266AEE"/>
    <w:rsid w:val="00266BCA"/>
    <w:rsid w:val="00266ECB"/>
    <w:rsid w:val="00270797"/>
    <w:rsid w:val="002718EB"/>
    <w:rsid w:val="00271FF2"/>
    <w:rsid w:val="00273BD2"/>
    <w:rsid w:val="002759E0"/>
    <w:rsid w:val="00276620"/>
    <w:rsid w:val="00280340"/>
    <w:rsid w:val="002805F3"/>
    <w:rsid w:val="00280FD3"/>
    <w:rsid w:val="0028254B"/>
    <w:rsid w:val="00283423"/>
    <w:rsid w:val="00283C19"/>
    <w:rsid w:val="00283FD1"/>
    <w:rsid w:val="0028400D"/>
    <w:rsid w:val="0028595F"/>
    <w:rsid w:val="00285DA3"/>
    <w:rsid w:val="00285F8B"/>
    <w:rsid w:val="002868D6"/>
    <w:rsid w:val="00294596"/>
    <w:rsid w:val="002976C9"/>
    <w:rsid w:val="002A2478"/>
    <w:rsid w:val="002A3643"/>
    <w:rsid w:val="002A3DE2"/>
    <w:rsid w:val="002A63B7"/>
    <w:rsid w:val="002A7FC0"/>
    <w:rsid w:val="002B0833"/>
    <w:rsid w:val="002B2797"/>
    <w:rsid w:val="002B2FBC"/>
    <w:rsid w:val="002B4338"/>
    <w:rsid w:val="002B5215"/>
    <w:rsid w:val="002B745C"/>
    <w:rsid w:val="002B79EF"/>
    <w:rsid w:val="002B7CEB"/>
    <w:rsid w:val="002C1746"/>
    <w:rsid w:val="002C2918"/>
    <w:rsid w:val="002C2A57"/>
    <w:rsid w:val="002C48DC"/>
    <w:rsid w:val="002C546D"/>
    <w:rsid w:val="002C75FA"/>
    <w:rsid w:val="002C7846"/>
    <w:rsid w:val="002C7AC6"/>
    <w:rsid w:val="002D2808"/>
    <w:rsid w:val="002D3D98"/>
    <w:rsid w:val="002D473B"/>
    <w:rsid w:val="002D476B"/>
    <w:rsid w:val="002D68B0"/>
    <w:rsid w:val="002D6F50"/>
    <w:rsid w:val="002D7FF1"/>
    <w:rsid w:val="002E1321"/>
    <w:rsid w:val="002E1475"/>
    <w:rsid w:val="002E3371"/>
    <w:rsid w:val="002E4809"/>
    <w:rsid w:val="002E5B1A"/>
    <w:rsid w:val="002E5E5E"/>
    <w:rsid w:val="002E7126"/>
    <w:rsid w:val="002F11C1"/>
    <w:rsid w:val="002F145F"/>
    <w:rsid w:val="002F194D"/>
    <w:rsid w:val="002F1BF6"/>
    <w:rsid w:val="002F3AFB"/>
    <w:rsid w:val="002F4E30"/>
    <w:rsid w:val="002F5488"/>
    <w:rsid w:val="002F61A0"/>
    <w:rsid w:val="002F7EDC"/>
    <w:rsid w:val="00300844"/>
    <w:rsid w:val="00303320"/>
    <w:rsid w:val="003033E8"/>
    <w:rsid w:val="00303870"/>
    <w:rsid w:val="00305829"/>
    <w:rsid w:val="00307D53"/>
    <w:rsid w:val="0031124B"/>
    <w:rsid w:val="003117CD"/>
    <w:rsid w:val="00315796"/>
    <w:rsid w:val="003173AB"/>
    <w:rsid w:val="00320D58"/>
    <w:rsid w:val="00320E17"/>
    <w:rsid w:val="00321271"/>
    <w:rsid w:val="00321DC2"/>
    <w:rsid w:val="003306A3"/>
    <w:rsid w:val="00330901"/>
    <w:rsid w:val="003313A4"/>
    <w:rsid w:val="00333D00"/>
    <w:rsid w:val="00334EDE"/>
    <w:rsid w:val="0033547A"/>
    <w:rsid w:val="0034108B"/>
    <w:rsid w:val="0034140D"/>
    <w:rsid w:val="003433C7"/>
    <w:rsid w:val="00343FC0"/>
    <w:rsid w:val="003451FB"/>
    <w:rsid w:val="00350DAA"/>
    <w:rsid w:val="003511BA"/>
    <w:rsid w:val="003514DE"/>
    <w:rsid w:val="003519E4"/>
    <w:rsid w:val="00351E80"/>
    <w:rsid w:val="0035247A"/>
    <w:rsid w:val="00352D3F"/>
    <w:rsid w:val="00354D55"/>
    <w:rsid w:val="003560A6"/>
    <w:rsid w:val="00360C09"/>
    <w:rsid w:val="00360EA0"/>
    <w:rsid w:val="003612DA"/>
    <w:rsid w:val="00363AA1"/>
    <w:rsid w:val="00364A4F"/>
    <w:rsid w:val="00371240"/>
    <w:rsid w:val="003730F1"/>
    <w:rsid w:val="00373822"/>
    <w:rsid w:val="00373DD8"/>
    <w:rsid w:val="00374198"/>
    <w:rsid w:val="003776F3"/>
    <w:rsid w:val="003778E4"/>
    <w:rsid w:val="00377C85"/>
    <w:rsid w:val="00382DD2"/>
    <w:rsid w:val="00383F13"/>
    <w:rsid w:val="003864CF"/>
    <w:rsid w:val="003869F8"/>
    <w:rsid w:val="00386C6D"/>
    <w:rsid w:val="00393363"/>
    <w:rsid w:val="00393BA1"/>
    <w:rsid w:val="003949BF"/>
    <w:rsid w:val="00394F0A"/>
    <w:rsid w:val="003951CC"/>
    <w:rsid w:val="00395DA8"/>
    <w:rsid w:val="003A0D8E"/>
    <w:rsid w:val="003A2183"/>
    <w:rsid w:val="003A2DAE"/>
    <w:rsid w:val="003A5804"/>
    <w:rsid w:val="003A5B11"/>
    <w:rsid w:val="003A60EC"/>
    <w:rsid w:val="003A66E0"/>
    <w:rsid w:val="003A6E41"/>
    <w:rsid w:val="003A74D7"/>
    <w:rsid w:val="003B06C2"/>
    <w:rsid w:val="003B109B"/>
    <w:rsid w:val="003B1954"/>
    <w:rsid w:val="003B2029"/>
    <w:rsid w:val="003B312B"/>
    <w:rsid w:val="003B3F6B"/>
    <w:rsid w:val="003B44C4"/>
    <w:rsid w:val="003B4FA9"/>
    <w:rsid w:val="003B5958"/>
    <w:rsid w:val="003B76E6"/>
    <w:rsid w:val="003B7C6B"/>
    <w:rsid w:val="003C09C1"/>
    <w:rsid w:val="003C356A"/>
    <w:rsid w:val="003C3C93"/>
    <w:rsid w:val="003C497F"/>
    <w:rsid w:val="003D1BD4"/>
    <w:rsid w:val="003D3F7D"/>
    <w:rsid w:val="003D43C3"/>
    <w:rsid w:val="003D6256"/>
    <w:rsid w:val="003D74B2"/>
    <w:rsid w:val="003E027E"/>
    <w:rsid w:val="003E040E"/>
    <w:rsid w:val="003E2B10"/>
    <w:rsid w:val="003E3494"/>
    <w:rsid w:val="003E3B73"/>
    <w:rsid w:val="003E4DDD"/>
    <w:rsid w:val="003F02D1"/>
    <w:rsid w:val="003F05B9"/>
    <w:rsid w:val="003F08D5"/>
    <w:rsid w:val="003F0E7E"/>
    <w:rsid w:val="003F0F71"/>
    <w:rsid w:val="003F12EE"/>
    <w:rsid w:val="003F1D65"/>
    <w:rsid w:val="003F4AE1"/>
    <w:rsid w:val="003F5D47"/>
    <w:rsid w:val="003F684C"/>
    <w:rsid w:val="003F6E10"/>
    <w:rsid w:val="003F7832"/>
    <w:rsid w:val="004002EC"/>
    <w:rsid w:val="00403E95"/>
    <w:rsid w:val="00403ECB"/>
    <w:rsid w:val="00404713"/>
    <w:rsid w:val="00407082"/>
    <w:rsid w:val="00411544"/>
    <w:rsid w:val="00413496"/>
    <w:rsid w:val="00414BFB"/>
    <w:rsid w:val="004157A1"/>
    <w:rsid w:val="0041637F"/>
    <w:rsid w:val="004168A0"/>
    <w:rsid w:val="00417530"/>
    <w:rsid w:val="004209CB"/>
    <w:rsid w:val="00422F58"/>
    <w:rsid w:val="004250D1"/>
    <w:rsid w:val="0042594C"/>
    <w:rsid w:val="00426C75"/>
    <w:rsid w:val="00426CCF"/>
    <w:rsid w:val="0042762C"/>
    <w:rsid w:val="0043133D"/>
    <w:rsid w:val="0043154E"/>
    <w:rsid w:val="00431C7D"/>
    <w:rsid w:val="00431D17"/>
    <w:rsid w:val="00433911"/>
    <w:rsid w:val="00433F77"/>
    <w:rsid w:val="004351B4"/>
    <w:rsid w:val="004357F0"/>
    <w:rsid w:val="00435FBE"/>
    <w:rsid w:val="0043730B"/>
    <w:rsid w:val="00437BA2"/>
    <w:rsid w:val="00437E31"/>
    <w:rsid w:val="00443223"/>
    <w:rsid w:val="00443376"/>
    <w:rsid w:val="004450E5"/>
    <w:rsid w:val="004474E3"/>
    <w:rsid w:val="0044771E"/>
    <w:rsid w:val="00450EB9"/>
    <w:rsid w:val="0045218B"/>
    <w:rsid w:val="00456D1B"/>
    <w:rsid w:val="004578D4"/>
    <w:rsid w:val="00462C0D"/>
    <w:rsid w:val="00463348"/>
    <w:rsid w:val="00463693"/>
    <w:rsid w:val="00465278"/>
    <w:rsid w:val="00465B77"/>
    <w:rsid w:val="00465BB0"/>
    <w:rsid w:val="00465CA9"/>
    <w:rsid w:val="00466F42"/>
    <w:rsid w:val="00471904"/>
    <w:rsid w:val="00471FED"/>
    <w:rsid w:val="00472613"/>
    <w:rsid w:val="00474D1F"/>
    <w:rsid w:val="00477082"/>
    <w:rsid w:val="0047716D"/>
    <w:rsid w:val="00477640"/>
    <w:rsid w:val="00482A4A"/>
    <w:rsid w:val="00483E4D"/>
    <w:rsid w:val="00484FED"/>
    <w:rsid w:val="00486ADF"/>
    <w:rsid w:val="00487196"/>
    <w:rsid w:val="00487C45"/>
    <w:rsid w:val="004905D6"/>
    <w:rsid w:val="004909FF"/>
    <w:rsid w:val="00492B05"/>
    <w:rsid w:val="004955BF"/>
    <w:rsid w:val="00495F1D"/>
    <w:rsid w:val="00496691"/>
    <w:rsid w:val="00497695"/>
    <w:rsid w:val="00497A81"/>
    <w:rsid w:val="004A343C"/>
    <w:rsid w:val="004A39D0"/>
    <w:rsid w:val="004A58FB"/>
    <w:rsid w:val="004A5A40"/>
    <w:rsid w:val="004B0F63"/>
    <w:rsid w:val="004B2106"/>
    <w:rsid w:val="004B45BD"/>
    <w:rsid w:val="004B4725"/>
    <w:rsid w:val="004B47D6"/>
    <w:rsid w:val="004B5829"/>
    <w:rsid w:val="004B5BBE"/>
    <w:rsid w:val="004B73E4"/>
    <w:rsid w:val="004C4253"/>
    <w:rsid w:val="004C46B8"/>
    <w:rsid w:val="004C4868"/>
    <w:rsid w:val="004C4C78"/>
    <w:rsid w:val="004C7CEB"/>
    <w:rsid w:val="004D006D"/>
    <w:rsid w:val="004D3681"/>
    <w:rsid w:val="004D5B8A"/>
    <w:rsid w:val="004D5D40"/>
    <w:rsid w:val="004D7EA7"/>
    <w:rsid w:val="004E3A2C"/>
    <w:rsid w:val="004E572B"/>
    <w:rsid w:val="004E63F8"/>
    <w:rsid w:val="004E6D2E"/>
    <w:rsid w:val="004F5225"/>
    <w:rsid w:val="004F6526"/>
    <w:rsid w:val="004F68F4"/>
    <w:rsid w:val="00500814"/>
    <w:rsid w:val="00501A40"/>
    <w:rsid w:val="0050209D"/>
    <w:rsid w:val="00502A1B"/>
    <w:rsid w:val="0050731C"/>
    <w:rsid w:val="00507B44"/>
    <w:rsid w:val="00512431"/>
    <w:rsid w:val="005138C1"/>
    <w:rsid w:val="00513B31"/>
    <w:rsid w:val="00514203"/>
    <w:rsid w:val="00515388"/>
    <w:rsid w:val="005176D3"/>
    <w:rsid w:val="00517D85"/>
    <w:rsid w:val="00520D9F"/>
    <w:rsid w:val="005251A4"/>
    <w:rsid w:val="00526C96"/>
    <w:rsid w:val="005323EA"/>
    <w:rsid w:val="00532867"/>
    <w:rsid w:val="005362AF"/>
    <w:rsid w:val="0053713F"/>
    <w:rsid w:val="00537C3A"/>
    <w:rsid w:val="00540306"/>
    <w:rsid w:val="00540BEA"/>
    <w:rsid w:val="00542584"/>
    <w:rsid w:val="00542730"/>
    <w:rsid w:val="00542D54"/>
    <w:rsid w:val="005501FF"/>
    <w:rsid w:val="00552DEE"/>
    <w:rsid w:val="00555F5C"/>
    <w:rsid w:val="005561A1"/>
    <w:rsid w:val="00557D72"/>
    <w:rsid w:val="0056136E"/>
    <w:rsid w:val="00564A6D"/>
    <w:rsid w:val="00566044"/>
    <w:rsid w:val="0056636A"/>
    <w:rsid w:val="005674AF"/>
    <w:rsid w:val="00567A30"/>
    <w:rsid w:val="00570778"/>
    <w:rsid w:val="00572CB5"/>
    <w:rsid w:val="005736B4"/>
    <w:rsid w:val="0057662F"/>
    <w:rsid w:val="00577525"/>
    <w:rsid w:val="0058035E"/>
    <w:rsid w:val="00581AED"/>
    <w:rsid w:val="00581C6C"/>
    <w:rsid w:val="00581F5A"/>
    <w:rsid w:val="00582B85"/>
    <w:rsid w:val="00584469"/>
    <w:rsid w:val="0058515E"/>
    <w:rsid w:val="005852F8"/>
    <w:rsid w:val="005859FB"/>
    <w:rsid w:val="00585E90"/>
    <w:rsid w:val="00587B7D"/>
    <w:rsid w:val="00587FC3"/>
    <w:rsid w:val="005927CC"/>
    <w:rsid w:val="00593C00"/>
    <w:rsid w:val="005A14CC"/>
    <w:rsid w:val="005A2F57"/>
    <w:rsid w:val="005A576C"/>
    <w:rsid w:val="005A5F47"/>
    <w:rsid w:val="005A7146"/>
    <w:rsid w:val="005A74E6"/>
    <w:rsid w:val="005B05EB"/>
    <w:rsid w:val="005B0FAA"/>
    <w:rsid w:val="005B1D8C"/>
    <w:rsid w:val="005B2D5F"/>
    <w:rsid w:val="005B356C"/>
    <w:rsid w:val="005B3E6F"/>
    <w:rsid w:val="005B72A1"/>
    <w:rsid w:val="005B76E7"/>
    <w:rsid w:val="005B7D91"/>
    <w:rsid w:val="005C03C7"/>
    <w:rsid w:val="005C0C76"/>
    <w:rsid w:val="005C1A32"/>
    <w:rsid w:val="005C1D27"/>
    <w:rsid w:val="005C3829"/>
    <w:rsid w:val="005C52FF"/>
    <w:rsid w:val="005D0369"/>
    <w:rsid w:val="005D0518"/>
    <w:rsid w:val="005D15A4"/>
    <w:rsid w:val="005D2418"/>
    <w:rsid w:val="005D3C1E"/>
    <w:rsid w:val="005D5243"/>
    <w:rsid w:val="005E027A"/>
    <w:rsid w:val="005E0EC4"/>
    <w:rsid w:val="005E0F2F"/>
    <w:rsid w:val="005E29E5"/>
    <w:rsid w:val="005E304F"/>
    <w:rsid w:val="005E3576"/>
    <w:rsid w:val="005E4202"/>
    <w:rsid w:val="005E5D5C"/>
    <w:rsid w:val="005E6A37"/>
    <w:rsid w:val="005F265C"/>
    <w:rsid w:val="005F2837"/>
    <w:rsid w:val="005F3D5E"/>
    <w:rsid w:val="005F47CF"/>
    <w:rsid w:val="005F68CF"/>
    <w:rsid w:val="005F6C20"/>
    <w:rsid w:val="005F7C64"/>
    <w:rsid w:val="00600B8F"/>
    <w:rsid w:val="00602501"/>
    <w:rsid w:val="00602E79"/>
    <w:rsid w:val="0060391C"/>
    <w:rsid w:val="006047A5"/>
    <w:rsid w:val="0060649A"/>
    <w:rsid w:val="00606514"/>
    <w:rsid w:val="00606598"/>
    <w:rsid w:val="00606934"/>
    <w:rsid w:val="0061412D"/>
    <w:rsid w:val="00616FBF"/>
    <w:rsid w:val="0062186B"/>
    <w:rsid w:val="0062259C"/>
    <w:rsid w:val="006231C9"/>
    <w:rsid w:val="00623607"/>
    <w:rsid w:val="00623DA5"/>
    <w:rsid w:val="00624F0D"/>
    <w:rsid w:val="00625A12"/>
    <w:rsid w:val="00625A95"/>
    <w:rsid w:val="00625C93"/>
    <w:rsid w:val="00626515"/>
    <w:rsid w:val="006268D0"/>
    <w:rsid w:val="0063059C"/>
    <w:rsid w:val="00633192"/>
    <w:rsid w:val="00634B5B"/>
    <w:rsid w:val="00635154"/>
    <w:rsid w:val="00636460"/>
    <w:rsid w:val="006407A6"/>
    <w:rsid w:val="00640979"/>
    <w:rsid w:val="00641B08"/>
    <w:rsid w:val="006431C3"/>
    <w:rsid w:val="00643C28"/>
    <w:rsid w:val="006454C0"/>
    <w:rsid w:val="00646FB2"/>
    <w:rsid w:val="00651439"/>
    <w:rsid w:val="00651675"/>
    <w:rsid w:val="00652B79"/>
    <w:rsid w:val="00654300"/>
    <w:rsid w:val="006560D6"/>
    <w:rsid w:val="00656D1A"/>
    <w:rsid w:val="006570AF"/>
    <w:rsid w:val="00657E24"/>
    <w:rsid w:val="006604A0"/>
    <w:rsid w:val="00660C6C"/>
    <w:rsid w:val="00662ABD"/>
    <w:rsid w:val="00662B0E"/>
    <w:rsid w:val="006632AB"/>
    <w:rsid w:val="0066560E"/>
    <w:rsid w:val="00667F27"/>
    <w:rsid w:val="00670425"/>
    <w:rsid w:val="006710B5"/>
    <w:rsid w:val="006713B4"/>
    <w:rsid w:val="00673F44"/>
    <w:rsid w:val="0067451E"/>
    <w:rsid w:val="00675CB8"/>
    <w:rsid w:val="006763C1"/>
    <w:rsid w:val="00676748"/>
    <w:rsid w:val="00676A8E"/>
    <w:rsid w:val="00681CB1"/>
    <w:rsid w:val="0068374C"/>
    <w:rsid w:val="00684100"/>
    <w:rsid w:val="00693256"/>
    <w:rsid w:val="0069529F"/>
    <w:rsid w:val="006971DF"/>
    <w:rsid w:val="006979A3"/>
    <w:rsid w:val="006A0046"/>
    <w:rsid w:val="006A1170"/>
    <w:rsid w:val="006A351A"/>
    <w:rsid w:val="006A3F87"/>
    <w:rsid w:val="006A5D5F"/>
    <w:rsid w:val="006A6DB1"/>
    <w:rsid w:val="006A77A4"/>
    <w:rsid w:val="006B04CD"/>
    <w:rsid w:val="006B33CD"/>
    <w:rsid w:val="006B3495"/>
    <w:rsid w:val="006B4028"/>
    <w:rsid w:val="006B480C"/>
    <w:rsid w:val="006B493D"/>
    <w:rsid w:val="006B5340"/>
    <w:rsid w:val="006B5948"/>
    <w:rsid w:val="006C034E"/>
    <w:rsid w:val="006C06F2"/>
    <w:rsid w:val="006C0C3B"/>
    <w:rsid w:val="006C44BD"/>
    <w:rsid w:val="006C4501"/>
    <w:rsid w:val="006C47B1"/>
    <w:rsid w:val="006C584A"/>
    <w:rsid w:val="006D1E36"/>
    <w:rsid w:val="006D2E28"/>
    <w:rsid w:val="006D6D40"/>
    <w:rsid w:val="006E30DE"/>
    <w:rsid w:val="006E3BEB"/>
    <w:rsid w:val="006E79A0"/>
    <w:rsid w:val="006F0E31"/>
    <w:rsid w:val="006F0E4E"/>
    <w:rsid w:val="006F185C"/>
    <w:rsid w:val="006F1DD2"/>
    <w:rsid w:val="006F2541"/>
    <w:rsid w:val="006F3E7B"/>
    <w:rsid w:val="006F4102"/>
    <w:rsid w:val="006F4D28"/>
    <w:rsid w:val="006F55AF"/>
    <w:rsid w:val="006F5C86"/>
    <w:rsid w:val="006F678D"/>
    <w:rsid w:val="006F7E8A"/>
    <w:rsid w:val="00700862"/>
    <w:rsid w:val="00700FFE"/>
    <w:rsid w:val="0070389C"/>
    <w:rsid w:val="007039F2"/>
    <w:rsid w:val="00703E2D"/>
    <w:rsid w:val="00705798"/>
    <w:rsid w:val="00705F28"/>
    <w:rsid w:val="00706202"/>
    <w:rsid w:val="00706E5A"/>
    <w:rsid w:val="00707B6E"/>
    <w:rsid w:val="00711F21"/>
    <w:rsid w:val="00713FC7"/>
    <w:rsid w:val="007143CA"/>
    <w:rsid w:val="0072085C"/>
    <w:rsid w:val="00722530"/>
    <w:rsid w:val="007225CF"/>
    <w:rsid w:val="007227F3"/>
    <w:rsid w:val="00722BDC"/>
    <w:rsid w:val="0072379E"/>
    <w:rsid w:val="00723CF4"/>
    <w:rsid w:val="00724361"/>
    <w:rsid w:val="0072516B"/>
    <w:rsid w:val="0072526F"/>
    <w:rsid w:val="00725308"/>
    <w:rsid w:val="00726BCE"/>
    <w:rsid w:val="00727C9F"/>
    <w:rsid w:val="00730305"/>
    <w:rsid w:val="00730835"/>
    <w:rsid w:val="00730C7D"/>
    <w:rsid w:val="00731EF8"/>
    <w:rsid w:val="00735662"/>
    <w:rsid w:val="00735D7C"/>
    <w:rsid w:val="007361CB"/>
    <w:rsid w:val="00736BFA"/>
    <w:rsid w:val="0073706D"/>
    <w:rsid w:val="007370A0"/>
    <w:rsid w:val="007373FB"/>
    <w:rsid w:val="00737805"/>
    <w:rsid w:val="00740E3B"/>
    <w:rsid w:val="007418B7"/>
    <w:rsid w:val="00750B9D"/>
    <w:rsid w:val="00752BBD"/>
    <w:rsid w:val="00752F9E"/>
    <w:rsid w:val="0075359D"/>
    <w:rsid w:val="007539EE"/>
    <w:rsid w:val="00756146"/>
    <w:rsid w:val="00760AA8"/>
    <w:rsid w:val="00761AA7"/>
    <w:rsid w:val="00761B41"/>
    <w:rsid w:val="00761E66"/>
    <w:rsid w:val="007625DD"/>
    <w:rsid w:val="00764251"/>
    <w:rsid w:val="007646CD"/>
    <w:rsid w:val="00765345"/>
    <w:rsid w:val="007653AC"/>
    <w:rsid w:val="007673AE"/>
    <w:rsid w:val="007712A3"/>
    <w:rsid w:val="007719DB"/>
    <w:rsid w:val="00773342"/>
    <w:rsid w:val="00775DAA"/>
    <w:rsid w:val="00776B41"/>
    <w:rsid w:val="007775C2"/>
    <w:rsid w:val="0078090A"/>
    <w:rsid w:val="00782123"/>
    <w:rsid w:val="00782EE9"/>
    <w:rsid w:val="0078400F"/>
    <w:rsid w:val="007870F3"/>
    <w:rsid w:val="007904E8"/>
    <w:rsid w:val="00794002"/>
    <w:rsid w:val="007946FB"/>
    <w:rsid w:val="00794B8E"/>
    <w:rsid w:val="00795482"/>
    <w:rsid w:val="007A0631"/>
    <w:rsid w:val="007A2415"/>
    <w:rsid w:val="007A4ACF"/>
    <w:rsid w:val="007A5679"/>
    <w:rsid w:val="007A7B79"/>
    <w:rsid w:val="007B10A1"/>
    <w:rsid w:val="007B796A"/>
    <w:rsid w:val="007C2068"/>
    <w:rsid w:val="007C314E"/>
    <w:rsid w:val="007C336E"/>
    <w:rsid w:val="007C49EC"/>
    <w:rsid w:val="007C5444"/>
    <w:rsid w:val="007C64AF"/>
    <w:rsid w:val="007D0D89"/>
    <w:rsid w:val="007D336F"/>
    <w:rsid w:val="007D55D7"/>
    <w:rsid w:val="007D5C84"/>
    <w:rsid w:val="007D612F"/>
    <w:rsid w:val="007D6947"/>
    <w:rsid w:val="007D7250"/>
    <w:rsid w:val="007D7989"/>
    <w:rsid w:val="007E0541"/>
    <w:rsid w:val="007E283B"/>
    <w:rsid w:val="007E6506"/>
    <w:rsid w:val="007E6630"/>
    <w:rsid w:val="007E74CE"/>
    <w:rsid w:val="007F07B6"/>
    <w:rsid w:val="007F0DFF"/>
    <w:rsid w:val="007F21E1"/>
    <w:rsid w:val="007F249A"/>
    <w:rsid w:val="007F2786"/>
    <w:rsid w:val="007F49B2"/>
    <w:rsid w:val="007F4BB5"/>
    <w:rsid w:val="007F4CD1"/>
    <w:rsid w:val="007F5F30"/>
    <w:rsid w:val="007F6563"/>
    <w:rsid w:val="008001A5"/>
    <w:rsid w:val="00802DD7"/>
    <w:rsid w:val="00807728"/>
    <w:rsid w:val="00810C20"/>
    <w:rsid w:val="008127CE"/>
    <w:rsid w:val="00814955"/>
    <w:rsid w:val="008161B8"/>
    <w:rsid w:val="0082299C"/>
    <w:rsid w:val="00822A85"/>
    <w:rsid w:val="00823721"/>
    <w:rsid w:val="00830009"/>
    <w:rsid w:val="00830C15"/>
    <w:rsid w:val="00832FAA"/>
    <w:rsid w:val="00833A63"/>
    <w:rsid w:val="00833BC8"/>
    <w:rsid w:val="00834910"/>
    <w:rsid w:val="008355C2"/>
    <w:rsid w:val="008359C8"/>
    <w:rsid w:val="00836FE6"/>
    <w:rsid w:val="0084320C"/>
    <w:rsid w:val="00843501"/>
    <w:rsid w:val="0085229E"/>
    <w:rsid w:val="00852784"/>
    <w:rsid w:val="008536F8"/>
    <w:rsid w:val="0085449F"/>
    <w:rsid w:val="00855C78"/>
    <w:rsid w:val="0086371E"/>
    <w:rsid w:val="00863D28"/>
    <w:rsid w:val="008640CC"/>
    <w:rsid w:val="008645E3"/>
    <w:rsid w:val="00864828"/>
    <w:rsid w:val="00870181"/>
    <w:rsid w:val="00870743"/>
    <w:rsid w:val="008709B8"/>
    <w:rsid w:val="0087264A"/>
    <w:rsid w:val="00872919"/>
    <w:rsid w:val="0087502F"/>
    <w:rsid w:val="008778E3"/>
    <w:rsid w:val="00877A34"/>
    <w:rsid w:val="00877A71"/>
    <w:rsid w:val="0088091F"/>
    <w:rsid w:val="0088165C"/>
    <w:rsid w:val="008841B2"/>
    <w:rsid w:val="00884540"/>
    <w:rsid w:val="00886F8D"/>
    <w:rsid w:val="008873F6"/>
    <w:rsid w:val="00892F90"/>
    <w:rsid w:val="008933FE"/>
    <w:rsid w:val="008939D0"/>
    <w:rsid w:val="008940F6"/>
    <w:rsid w:val="00894C90"/>
    <w:rsid w:val="00895308"/>
    <w:rsid w:val="00896854"/>
    <w:rsid w:val="008A0592"/>
    <w:rsid w:val="008A0761"/>
    <w:rsid w:val="008A514F"/>
    <w:rsid w:val="008A53DD"/>
    <w:rsid w:val="008A5B0C"/>
    <w:rsid w:val="008A60C9"/>
    <w:rsid w:val="008A6A0D"/>
    <w:rsid w:val="008A74FE"/>
    <w:rsid w:val="008A7532"/>
    <w:rsid w:val="008A7B08"/>
    <w:rsid w:val="008B1641"/>
    <w:rsid w:val="008B3B1D"/>
    <w:rsid w:val="008B4601"/>
    <w:rsid w:val="008B6191"/>
    <w:rsid w:val="008B6B17"/>
    <w:rsid w:val="008C140F"/>
    <w:rsid w:val="008C2FB2"/>
    <w:rsid w:val="008C4E33"/>
    <w:rsid w:val="008C5A1A"/>
    <w:rsid w:val="008C5A4F"/>
    <w:rsid w:val="008D12BF"/>
    <w:rsid w:val="008D367F"/>
    <w:rsid w:val="008D43FA"/>
    <w:rsid w:val="008D4793"/>
    <w:rsid w:val="008D4CBD"/>
    <w:rsid w:val="008D5C71"/>
    <w:rsid w:val="008D7005"/>
    <w:rsid w:val="008D714F"/>
    <w:rsid w:val="008E03EC"/>
    <w:rsid w:val="008E2FCC"/>
    <w:rsid w:val="008E3093"/>
    <w:rsid w:val="008E6C1E"/>
    <w:rsid w:val="008E6E53"/>
    <w:rsid w:val="008E7A5B"/>
    <w:rsid w:val="008E7B78"/>
    <w:rsid w:val="008F2FB1"/>
    <w:rsid w:val="008F6E05"/>
    <w:rsid w:val="008F757B"/>
    <w:rsid w:val="008F79FD"/>
    <w:rsid w:val="009001A0"/>
    <w:rsid w:val="009007C2"/>
    <w:rsid w:val="00900828"/>
    <w:rsid w:val="00900D31"/>
    <w:rsid w:val="00903812"/>
    <w:rsid w:val="00904A57"/>
    <w:rsid w:val="00906663"/>
    <w:rsid w:val="0090718F"/>
    <w:rsid w:val="0091352A"/>
    <w:rsid w:val="00914AA2"/>
    <w:rsid w:val="00915392"/>
    <w:rsid w:val="00916AE4"/>
    <w:rsid w:val="00917A4C"/>
    <w:rsid w:val="00917E2A"/>
    <w:rsid w:val="00925E78"/>
    <w:rsid w:val="00926D3C"/>
    <w:rsid w:val="00931A41"/>
    <w:rsid w:val="00931D7C"/>
    <w:rsid w:val="009320E3"/>
    <w:rsid w:val="00933054"/>
    <w:rsid w:val="00933915"/>
    <w:rsid w:val="009379F3"/>
    <w:rsid w:val="00944CB0"/>
    <w:rsid w:val="0094542E"/>
    <w:rsid w:val="0094597A"/>
    <w:rsid w:val="009500BF"/>
    <w:rsid w:val="0095060E"/>
    <w:rsid w:val="009518D2"/>
    <w:rsid w:val="00953E8A"/>
    <w:rsid w:val="0095529F"/>
    <w:rsid w:val="0096101D"/>
    <w:rsid w:val="00961589"/>
    <w:rsid w:val="00966751"/>
    <w:rsid w:val="009674B8"/>
    <w:rsid w:val="00970410"/>
    <w:rsid w:val="00970A6F"/>
    <w:rsid w:val="00970D43"/>
    <w:rsid w:val="00971CE0"/>
    <w:rsid w:val="009743E4"/>
    <w:rsid w:val="009805BD"/>
    <w:rsid w:val="0098118D"/>
    <w:rsid w:val="00981E50"/>
    <w:rsid w:val="009827BA"/>
    <w:rsid w:val="0098461E"/>
    <w:rsid w:val="0098492C"/>
    <w:rsid w:val="00985076"/>
    <w:rsid w:val="0098586D"/>
    <w:rsid w:val="00987C51"/>
    <w:rsid w:val="00993332"/>
    <w:rsid w:val="0099637D"/>
    <w:rsid w:val="009975BE"/>
    <w:rsid w:val="00997723"/>
    <w:rsid w:val="0099789C"/>
    <w:rsid w:val="00997A27"/>
    <w:rsid w:val="009A3228"/>
    <w:rsid w:val="009A577D"/>
    <w:rsid w:val="009A6CF1"/>
    <w:rsid w:val="009A7C06"/>
    <w:rsid w:val="009B03A5"/>
    <w:rsid w:val="009B0F74"/>
    <w:rsid w:val="009B275D"/>
    <w:rsid w:val="009B3219"/>
    <w:rsid w:val="009B3925"/>
    <w:rsid w:val="009B4F59"/>
    <w:rsid w:val="009B6768"/>
    <w:rsid w:val="009B799E"/>
    <w:rsid w:val="009C09F9"/>
    <w:rsid w:val="009C10A0"/>
    <w:rsid w:val="009C39F9"/>
    <w:rsid w:val="009C4138"/>
    <w:rsid w:val="009C65ED"/>
    <w:rsid w:val="009D0DE8"/>
    <w:rsid w:val="009D1EF2"/>
    <w:rsid w:val="009D2867"/>
    <w:rsid w:val="009D2F67"/>
    <w:rsid w:val="009D3B98"/>
    <w:rsid w:val="009D4F3C"/>
    <w:rsid w:val="009D4F40"/>
    <w:rsid w:val="009D6040"/>
    <w:rsid w:val="009E013D"/>
    <w:rsid w:val="009E10DD"/>
    <w:rsid w:val="009E3C87"/>
    <w:rsid w:val="009E46E2"/>
    <w:rsid w:val="009E4B0D"/>
    <w:rsid w:val="009E4DB0"/>
    <w:rsid w:val="009E7B8D"/>
    <w:rsid w:val="009E7D17"/>
    <w:rsid w:val="009F05C3"/>
    <w:rsid w:val="009F0CFA"/>
    <w:rsid w:val="009F2D7B"/>
    <w:rsid w:val="009F3242"/>
    <w:rsid w:val="009F3EA5"/>
    <w:rsid w:val="009F440F"/>
    <w:rsid w:val="009F4C66"/>
    <w:rsid w:val="009F5A7B"/>
    <w:rsid w:val="009F6753"/>
    <w:rsid w:val="00A03B45"/>
    <w:rsid w:val="00A05931"/>
    <w:rsid w:val="00A063EF"/>
    <w:rsid w:val="00A06DC4"/>
    <w:rsid w:val="00A06F4C"/>
    <w:rsid w:val="00A123D0"/>
    <w:rsid w:val="00A12F22"/>
    <w:rsid w:val="00A140C4"/>
    <w:rsid w:val="00A14C21"/>
    <w:rsid w:val="00A160B4"/>
    <w:rsid w:val="00A160EE"/>
    <w:rsid w:val="00A20E9D"/>
    <w:rsid w:val="00A21D0E"/>
    <w:rsid w:val="00A21DD3"/>
    <w:rsid w:val="00A238B0"/>
    <w:rsid w:val="00A23D37"/>
    <w:rsid w:val="00A241FD"/>
    <w:rsid w:val="00A25CE3"/>
    <w:rsid w:val="00A3196A"/>
    <w:rsid w:val="00A33AE1"/>
    <w:rsid w:val="00A33B90"/>
    <w:rsid w:val="00A33EF5"/>
    <w:rsid w:val="00A3617B"/>
    <w:rsid w:val="00A36BE4"/>
    <w:rsid w:val="00A413C4"/>
    <w:rsid w:val="00A4153B"/>
    <w:rsid w:val="00A42864"/>
    <w:rsid w:val="00A428D7"/>
    <w:rsid w:val="00A440B8"/>
    <w:rsid w:val="00A44CF3"/>
    <w:rsid w:val="00A47932"/>
    <w:rsid w:val="00A50459"/>
    <w:rsid w:val="00A50579"/>
    <w:rsid w:val="00A54292"/>
    <w:rsid w:val="00A54816"/>
    <w:rsid w:val="00A54F47"/>
    <w:rsid w:val="00A554CE"/>
    <w:rsid w:val="00A5593B"/>
    <w:rsid w:val="00A56A68"/>
    <w:rsid w:val="00A60F03"/>
    <w:rsid w:val="00A628C2"/>
    <w:rsid w:val="00A628D5"/>
    <w:rsid w:val="00A629B4"/>
    <w:rsid w:val="00A629DD"/>
    <w:rsid w:val="00A64CEC"/>
    <w:rsid w:val="00A701DD"/>
    <w:rsid w:val="00A71983"/>
    <w:rsid w:val="00A72113"/>
    <w:rsid w:val="00A736B9"/>
    <w:rsid w:val="00A73754"/>
    <w:rsid w:val="00A73802"/>
    <w:rsid w:val="00A74AA3"/>
    <w:rsid w:val="00A74B4B"/>
    <w:rsid w:val="00A74BE5"/>
    <w:rsid w:val="00A807C9"/>
    <w:rsid w:val="00A80F69"/>
    <w:rsid w:val="00A80FA0"/>
    <w:rsid w:val="00A819EB"/>
    <w:rsid w:val="00A8318D"/>
    <w:rsid w:val="00A8375D"/>
    <w:rsid w:val="00A8445B"/>
    <w:rsid w:val="00A8484E"/>
    <w:rsid w:val="00A8639D"/>
    <w:rsid w:val="00A86628"/>
    <w:rsid w:val="00A87502"/>
    <w:rsid w:val="00A91C45"/>
    <w:rsid w:val="00A924BC"/>
    <w:rsid w:val="00A92F83"/>
    <w:rsid w:val="00A9434D"/>
    <w:rsid w:val="00A9447F"/>
    <w:rsid w:val="00A96FAD"/>
    <w:rsid w:val="00A972A4"/>
    <w:rsid w:val="00A97E8E"/>
    <w:rsid w:val="00AA002E"/>
    <w:rsid w:val="00AA0677"/>
    <w:rsid w:val="00AA1F7F"/>
    <w:rsid w:val="00AA2FED"/>
    <w:rsid w:val="00AA3945"/>
    <w:rsid w:val="00AB1093"/>
    <w:rsid w:val="00AB2210"/>
    <w:rsid w:val="00AB25AB"/>
    <w:rsid w:val="00AB2F33"/>
    <w:rsid w:val="00AB4BED"/>
    <w:rsid w:val="00AB6AC5"/>
    <w:rsid w:val="00AB6BB4"/>
    <w:rsid w:val="00AC2363"/>
    <w:rsid w:val="00AC3F12"/>
    <w:rsid w:val="00AC498B"/>
    <w:rsid w:val="00AC61EC"/>
    <w:rsid w:val="00AC72F0"/>
    <w:rsid w:val="00AC7892"/>
    <w:rsid w:val="00AC791A"/>
    <w:rsid w:val="00AD11A7"/>
    <w:rsid w:val="00AD198A"/>
    <w:rsid w:val="00AD392C"/>
    <w:rsid w:val="00AD60A0"/>
    <w:rsid w:val="00AD68B0"/>
    <w:rsid w:val="00AD7126"/>
    <w:rsid w:val="00AD7F0C"/>
    <w:rsid w:val="00AE05C4"/>
    <w:rsid w:val="00AE5909"/>
    <w:rsid w:val="00AE59F0"/>
    <w:rsid w:val="00AE6C6D"/>
    <w:rsid w:val="00AF0285"/>
    <w:rsid w:val="00AF645F"/>
    <w:rsid w:val="00B000DB"/>
    <w:rsid w:val="00B05591"/>
    <w:rsid w:val="00B06988"/>
    <w:rsid w:val="00B1087F"/>
    <w:rsid w:val="00B11633"/>
    <w:rsid w:val="00B136C8"/>
    <w:rsid w:val="00B13803"/>
    <w:rsid w:val="00B1679A"/>
    <w:rsid w:val="00B20EB9"/>
    <w:rsid w:val="00B21A38"/>
    <w:rsid w:val="00B21A53"/>
    <w:rsid w:val="00B2208A"/>
    <w:rsid w:val="00B24FA0"/>
    <w:rsid w:val="00B25D04"/>
    <w:rsid w:val="00B3125D"/>
    <w:rsid w:val="00B359F1"/>
    <w:rsid w:val="00B40ED4"/>
    <w:rsid w:val="00B41260"/>
    <w:rsid w:val="00B41A1F"/>
    <w:rsid w:val="00B4316D"/>
    <w:rsid w:val="00B436F2"/>
    <w:rsid w:val="00B442B4"/>
    <w:rsid w:val="00B50F2D"/>
    <w:rsid w:val="00B5290C"/>
    <w:rsid w:val="00B530A0"/>
    <w:rsid w:val="00B537E3"/>
    <w:rsid w:val="00B579B2"/>
    <w:rsid w:val="00B65329"/>
    <w:rsid w:val="00B6568B"/>
    <w:rsid w:val="00B65C80"/>
    <w:rsid w:val="00B6704E"/>
    <w:rsid w:val="00B6725F"/>
    <w:rsid w:val="00B70335"/>
    <w:rsid w:val="00B72875"/>
    <w:rsid w:val="00B72B44"/>
    <w:rsid w:val="00B7302F"/>
    <w:rsid w:val="00B735F3"/>
    <w:rsid w:val="00B745E9"/>
    <w:rsid w:val="00B76AFC"/>
    <w:rsid w:val="00B77634"/>
    <w:rsid w:val="00B77ED0"/>
    <w:rsid w:val="00B802E1"/>
    <w:rsid w:val="00B81D16"/>
    <w:rsid w:val="00B81F48"/>
    <w:rsid w:val="00B830DD"/>
    <w:rsid w:val="00B8325F"/>
    <w:rsid w:val="00B85EA0"/>
    <w:rsid w:val="00B9065D"/>
    <w:rsid w:val="00B9232D"/>
    <w:rsid w:val="00B923F1"/>
    <w:rsid w:val="00B93AD1"/>
    <w:rsid w:val="00B93FBE"/>
    <w:rsid w:val="00B94763"/>
    <w:rsid w:val="00BA0B96"/>
    <w:rsid w:val="00BA0EF2"/>
    <w:rsid w:val="00BA1C8E"/>
    <w:rsid w:val="00BA31AA"/>
    <w:rsid w:val="00BA41E8"/>
    <w:rsid w:val="00BA4230"/>
    <w:rsid w:val="00BA4468"/>
    <w:rsid w:val="00BA5201"/>
    <w:rsid w:val="00BA58C1"/>
    <w:rsid w:val="00BB0F1F"/>
    <w:rsid w:val="00BB11ED"/>
    <w:rsid w:val="00BB1545"/>
    <w:rsid w:val="00BB1802"/>
    <w:rsid w:val="00BB25F8"/>
    <w:rsid w:val="00BB304A"/>
    <w:rsid w:val="00BB3440"/>
    <w:rsid w:val="00BB3FC9"/>
    <w:rsid w:val="00BB58DD"/>
    <w:rsid w:val="00BB657B"/>
    <w:rsid w:val="00BB7E7F"/>
    <w:rsid w:val="00BB7F35"/>
    <w:rsid w:val="00BC03F5"/>
    <w:rsid w:val="00BC12FE"/>
    <w:rsid w:val="00BC1827"/>
    <w:rsid w:val="00BC237F"/>
    <w:rsid w:val="00BC2DA6"/>
    <w:rsid w:val="00BC589A"/>
    <w:rsid w:val="00BC6214"/>
    <w:rsid w:val="00BD0868"/>
    <w:rsid w:val="00BD0D25"/>
    <w:rsid w:val="00BD1982"/>
    <w:rsid w:val="00BD1E6A"/>
    <w:rsid w:val="00BD710E"/>
    <w:rsid w:val="00BD75AF"/>
    <w:rsid w:val="00BE05D8"/>
    <w:rsid w:val="00BE06EB"/>
    <w:rsid w:val="00BE3744"/>
    <w:rsid w:val="00BE3E96"/>
    <w:rsid w:val="00BE6932"/>
    <w:rsid w:val="00BF45EF"/>
    <w:rsid w:val="00BF73F0"/>
    <w:rsid w:val="00BF77C3"/>
    <w:rsid w:val="00BF7961"/>
    <w:rsid w:val="00C03748"/>
    <w:rsid w:val="00C04104"/>
    <w:rsid w:val="00C075DF"/>
    <w:rsid w:val="00C10460"/>
    <w:rsid w:val="00C10AAB"/>
    <w:rsid w:val="00C10F89"/>
    <w:rsid w:val="00C11A9A"/>
    <w:rsid w:val="00C11D3B"/>
    <w:rsid w:val="00C1543B"/>
    <w:rsid w:val="00C20CC5"/>
    <w:rsid w:val="00C210F2"/>
    <w:rsid w:val="00C211CD"/>
    <w:rsid w:val="00C212C5"/>
    <w:rsid w:val="00C2134C"/>
    <w:rsid w:val="00C22BA6"/>
    <w:rsid w:val="00C23598"/>
    <w:rsid w:val="00C23778"/>
    <w:rsid w:val="00C23E09"/>
    <w:rsid w:val="00C33295"/>
    <w:rsid w:val="00C3366F"/>
    <w:rsid w:val="00C33DD7"/>
    <w:rsid w:val="00C36D69"/>
    <w:rsid w:val="00C406FB"/>
    <w:rsid w:val="00C4100B"/>
    <w:rsid w:val="00C410A5"/>
    <w:rsid w:val="00C44E1B"/>
    <w:rsid w:val="00C45EA3"/>
    <w:rsid w:val="00C46F25"/>
    <w:rsid w:val="00C5065A"/>
    <w:rsid w:val="00C509C4"/>
    <w:rsid w:val="00C50D43"/>
    <w:rsid w:val="00C56180"/>
    <w:rsid w:val="00C60F9D"/>
    <w:rsid w:val="00C61DAC"/>
    <w:rsid w:val="00C628C9"/>
    <w:rsid w:val="00C62CB2"/>
    <w:rsid w:val="00C6472A"/>
    <w:rsid w:val="00C64EEA"/>
    <w:rsid w:val="00C66ACB"/>
    <w:rsid w:val="00C73AAF"/>
    <w:rsid w:val="00C75C54"/>
    <w:rsid w:val="00C76E7C"/>
    <w:rsid w:val="00C81613"/>
    <w:rsid w:val="00C83EA4"/>
    <w:rsid w:val="00C84B7F"/>
    <w:rsid w:val="00C8520A"/>
    <w:rsid w:val="00C9098F"/>
    <w:rsid w:val="00C92DB0"/>
    <w:rsid w:val="00C9326F"/>
    <w:rsid w:val="00C93EAA"/>
    <w:rsid w:val="00C943C1"/>
    <w:rsid w:val="00C94DCD"/>
    <w:rsid w:val="00C95BD4"/>
    <w:rsid w:val="00C9763D"/>
    <w:rsid w:val="00CA147F"/>
    <w:rsid w:val="00CA4627"/>
    <w:rsid w:val="00CA4B81"/>
    <w:rsid w:val="00CA6349"/>
    <w:rsid w:val="00CA7EEE"/>
    <w:rsid w:val="00CB1303"/>
    <w:rsid w:val="00CB38D3"/>
    <w:rsid w:val="00CB3F1D"/>
    <w:rsid w:val="00CB6A03"/>
    <w:rsid w:val="00CB74C6"/>
    <w:rsid w:val="00CC21E3"/>
    <w:rsid w:val="00CC4171"/>
    <w:rsid w:val="00CC47D6"/>
    <w:rsid w:val="00CC52A0"/>
    <w:rsid w:val="00CC542B"/>
    <w:rsid w:val="00CC5ABA"/>
    <w:rsid w:val="00CC63CB"/>
    <w:rsid w:val="00CD0663"/>
    <w:rsid w:val="00CD08BA"/>
    <w:rsid w:val="00CD1B13"/>
    <w:rsid w:val="00CD2467"/>
    <w:rsid w:val="00CD2CA8"/>
    <w:rsid w:val="00CD4467"/>
    <w:rsid w:val="00CD4DFB"/>
    <w:rsid w:val="00CD4F1D"/>
    <w:rsid w:val="00CD5FE2"/>
    <w:rsid w:val="00CE0A3C"/>
    <w:rsid w:val="00CE0A64"/>
    <w:rsid w:val="00CE1375"/>
    <w:rsid w:val="00CE1400"/>
    <w:rsid w:val="00CE17CE"/>
    <w:rsid w:val="00CE1AAF"/>
    <w:rsid w:val="00CE1F06"/>
    <w:rsid w:val="00CE2BFA"/>
    <w:rsid w:val="00CE2F3A"/>
    <w:rsid w:val="00CF3F0C"/>
    <w:rsid w:val="00CF60B5"/>
    <w:rsid w:val="00CF72F4"/>
    <w:rsid w:val="00D00A04"/>
    <w:rsid w:val="00D02A8C"/>
    <w:rsid w:val="00D02F38"/>
    <w:rsid w:val="00D03827"/>
    <w:rsid w:val="00D05DE8"/>
    <w:rsid w:val="00D0745F"/>
    <w:rsid w:val="00D1109A"/>
    <w:rsid w:val="00D12B43"/>
    <w:rsid w:val="00D14D8D"/>
    <w:rsid w:val="00D15F46"/>
    <w:rsid w:val="00D16824"/>
    <w:rsid w:val="00D17016"/>
    <w:rsid w:val="00D224CB"/>
    <w:rsid w:val="00D24455"/>
    <w:rsid w:val="00D252CB"/>
    <w:rsid w:val="00D26D6B"/>
    <w:rsid w:val="00D26E5E"/>
    <w:rsid w:val="00D276AC"/>
    <w:rsid w:val="00D30930"/>
    <w:rsid w:val="00D31827"/>
    <w:rsid w:val="00D33FB6"/>
    <w:rsid w:val="00D3500F"/>
    <w:rsid w:val="00D35BD2"/>
    <w:rsid w:val="00D371B3"/>
    <w:rsid w:val="00D375F7"/>
    <w:rsid w:val="00D40360"/>
    <w:rsid w:val="00D435AE"/>
    <w:rsid w:val="00D4589E"/>
    <w:rsid w:val="00D4653F"/>
    <w:rsid w:val="00D47A2B"/>
    <w:rsid w:val="00D50F88"/>
    <w:rsid w:val="00D52483"/>
    <w:rsid w:val="00D52AB6"/>
    <w:rsid w:val="00D5391C"/>
    <w:rsid w:val="00D53A2A"/>
    <w:rsid w:val="00D5426A"/>
    <w:rsid w:val="00D55136"/>
    <w:rsid w:val="00D55F3B"/>
    <w:rsid w:val="00D57FDC"/>
    <w:rsid w:val="00D60132"/>
    <w:rsid w:val="00D603D1"/>
    <w:rsid w:val="00D61820"/>
    <w:rsid w:val="00D62274"/>
    <w:rsid w:val="00D623D1"/>
    <w:rsid w:val="00D65274"/>
    <w:rsid w:val="00D65F32"/>
    <w:rsid w:val="00D6646A"/>
    <w:rsid w:val="00D66893"/>
    <w:rsid w:val="00D7166D"/>
    <w:rsid w:val="00D71C35"/>
    <w:rsid w:val="00D75E88"/>
    <w:rsid w:val="00D77D17"/>
    <w:rsid w:val="00D80151"/>
    <w:rsid w:val="00D80D3B"/>
    <w:rsid w:val="00D82BCB"/>
    <w:rsid w:val="00D82D97"/>
    <w:rsid w:val="00D8339E"/>
    <w:rsid w:val="00D8342B"/>
    <w:rsid w:val="00D83545"/>
    <w:rsid w:val="00D84732"/>
    <w:rsid w:val="00D84E38"/>
    <w:rsid w:val="00D855DF"/>
    <w:rsid w:val="00D87C00"/>
    <w:rsid w:val="00D91B7F"/>
    <w:rsid w:val="00D956E1"/>
    <w:rsid w:val="00D9625C"/>
    <w:rsid w:val="00D972DF"/>
    <w:rsid w:val="00DA151F"/>
    <w:rsid w:val="00DA1AF1"/>
    <w:rsid w:val="00DA2449"/>
    <w:rsid w:val="00DA2C9F"/>
    <w:rsid w:val="00DA3A1E"/>
    <w:rsid w:val="00DA400C"/>
    <w:rsid w:val="00DB0988"/>
    <w:rsid w:val="00DB0DC2"/>
    <w:rsid w:val="00DB1258"/>
    <w:rsid w:val="00DB15B2"/>
    <w:rsid w:val="00DB38F3"/>
    <w:rsid w:val="00DB602D"/>
    <w:rsid w:val="00DC1120"/>
    <w:rsid w:val="00DC1F24"/>
    <w:rsid w:val="00DC53B9"/>
    <w:rsid w:val="00DC691E"/>
    <w:rsid w:val="00DD1BFC"/>
    <w:rsid w:val="00DD1EAE"/>
    <w:rsid w:val="00DD201E"/>
    <w:rsid w:val="00DD326C"/>
    <w:rsid w:val="00DD35A7"/>
    <w:rsid w:val="00DD3C56"/>
    <w:rsid w:val="00DD40BD"/>
    <w:rsid w:val="00DD447F"/>
    <w:rsid w:val="00DD6ED6"/>
    <w:rsid w:val="00DE26C6"/>
    <w:rsid w:val="00DE2A89"/>
    <w:rsid w:val="00DE341F"/>
    <w:rsid w:val="00DE4B44"/>
    <w:rsid w:val="00DE4B88"/>
    <w:rsid w:val="00DE6323"/>
    <w:rsid w:val="00DE6A53"/>
    <w:rsid w:val="00DF01A2"/>
    <w:rsid w:val="00DF1AB6"/>
    <w:rsid w:val="00DF248C"/>
    <w:rsid w:val="00DF2CCC"/>
    <w:rsid w:val="00DF3FD7"/>
    <w:rsid w:val="00DF6E47"/>
    <w:rsid w:val="00E01B02"/>
    <w:rsid w:val="00E01B9A"/>
    <w:rsid w:val="00E030D3"/>
    <w:rsid w:val="00E03506"/>
    <w:rsid w:val="00E03633"/>
    <w:rsid w:val="00E051BF"/>
    <w:rsid w:val="00E07257"/>
    <w:rsid w:val="00E104B7"/>
    <w:rsid w:val="00E1127A"/>
    <w:rsid w:val="00E12D9B"/>
    <w:rsid w:val="00E12DAB"/>
    <w:rsid w:val="00E141EE"/>
    <w:rsid w:val="00E202C3"/>
    <w:rsid w:val="00E229C3"/>
    <w:rsid w:val="00E261A3"/>
    <w:rsid w:val="00E27E25"/>
    <w:rsid w:val="00E304DD"/>
    <w:rsid w:val="00E314B0"/>
    <w:rsid w:val="00E31F06"/>
    <w:rsid w:val="00E329EC"/>
    <w:rsid w:val="00E3336B"/>
    <w:rsid w:val="00E33AA5"/>
    <w:rsid w:val="00E33D96"/>
    <w:rsid w:val="00E36113"/>
    <w:rsid w:val="00E363DC"/>
    <w:rsid w:val="00E36FE3"/>
    <w:rsid w:val="00E37BA9"/>
    <w:rsid w:val="00E37EF1"/>
    <w:rsid w:val="00E4156C"/>
    <w:rsid w:val="00E43545"/>
    <w:rsid w:val="00E43BA3"/>
    <w:rsid w:val="00E43EF7"/>
    <w:rsid w:val="00E448E2"/>
    <w:rsid w:val="00E474E8"/>
    <w:rsid w:val="00E51196"/>
    <w:rsid w:val="00E521F7"/>
    <w:rsid w:val="00E532A9"/>
    <w:rsid w:val="00E536CE"/>
    <w:rsid w:val="00E55FC6"/>
    <w:rsid w:val="00E56A64"/>
    <w:rsid w:val="00E61144"/>
    <w:rsid w:val="00E6151E"/>
    <w:rsid w:val="00E62860"/>
    <w:rsid w:val="00E63ECB"/>
    <w:rsid w:val="00E65CB8"/>
    <w:rsid w:val="00E7022C"/>
    <w:rsid w:val="00E70D5B"/>
    <w:rsid w:val="00E712F4"/>
    <w:rsid w:val="00E71BA6"/>
    <w:rsid w:val="00E7275C"/>
    <w:rsid w:val="00E7327D"/>
    <w:rsid w:val="00E75FDA"/>
    <w:rsid w:val="00E762FE"/>
    <w:rsid w:val="00E77E73"/>
    <w:rsid w:val="00E83B4B"/>
    <w:rsid w:val="00E83E02"/>
    <w:rsid w:val="00E8442D"/>
    <w:rsid w:val="00E8525B"/>
    <w:rsid w:val="00E86983"/>
    <w:rsid w:val="00E87E5C"/>
    <w:rsid w:val="00E91EF3"/>
    <w:rsid w:val="00E92A30"/>
    <w:rsid w:val="00E93C80"/>
    <w:rsid w:val="00E94A26"/>
    <w:rsid w:val="00E9507D"/>
    <w:rsid w:val="00E95B57"/>
    <w:rsid w:val="00E9684F"/>
    <w:rsid w:val="00E972E7"/>
    <w:rsid w:val="00E9750D"/>
    <w:rsid w:val="00E97541"/>
    <w:rsid w:val="00EA0959"/>
    <w:rsid w:val="00EA0B6A"/>
    <w:rsid w:val="00EA145B"/>
    <w:rsid w:val="00EA1AD8"/>
    <w:rsid w:val="00EA3ED2"/>
    <w:rsid w:val="00EA567C"/>
    <w:rsid w:val="00EA628A"/>
    <w:rsid w:val="00EA6297"/>
    <w:rsid w:val="00EA64A1"/>
    <w:rsid w:val="00EA7C2A"/>
    <w:rsid w:val="00EB0452"/>
    <w:rsid w:val="00EB18D9"/>
    <w:rsid w:val="00EB2758"/>
    <w:rsid w:val="00EC070F"/>
    <w:rsid w:val="00EC227A"/>
    <w:rsid w:val="00EC2C66"/>
    <w:rsid w:val="00EC3933"/>
    <w:rsid w:val="00EC65A3"/>
    <w:rsid w:val="00ED01AE"/>
    <w:rsid w:val="00ED2C5C"/>
    <w:rsid w:val="00ED34A3"/>
    <w:rsid w:val="00ED46A8"/>
    <w:rsid w:val="00ED4B45"/>
    <w:rsid w:val="00ED4E38"/>
    <w:rsid w:val="00ED5A96"/>
    <w:rsid w:val="00ED5E21"/>
    <w:rsid w:val="00ED7C80"/>
    <w:rsid w:val="00EE1193"/>
    <w:rsid w:val="00EE1C34"/>
    <w:rsid w:val="00EE1D22"/>
    <w:rsid w:val="00EE2616"/>
    <w:rsid w:val="00EE2CAB"/>
    <w:rsid w:val="00EE31E1"/>
    <w:rsid w:val="00EE444C"/>
    <w:rsid w:val="00EE767E"/>
    <w:rsid w:val="00EF08C5"/>
    <w:rsid w:val="00EF0906"/>
    <w:rsid w:val="00EF1D53"/>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7569"/>
    <w:rsid w:val="00F21282"/>
    <w:rsid w:val="00F213E9"/>
    <w:rsid w:val="00F21ABB"/>
    <w:rsid w:val="00F23924"/>
    <w:rsid w:val="00F23B64"/>
    <w:rsid w:val="00F310F7"/>
    <w:rsid w:val="00F3143E"/>
    <w:rsid w:val="00F32CD6"/>
    <w:rsid w:val="00F330B0"/>
    <w:rsid w:val="00F3344A"/>
    <w:rsid w:val="00F33775"/>
    <w:rsid w:val="00F337A5"/>
    <w:rsid w:val="00F338B6"/>
    <w:rsid w:val="00F346D4"/>
    <w:rsid w:val="00F34B84"/>
    <w:rsid w:val="00F3501D"/>
    <w:rsid w:val="00F35684"/>
    <w:rsid w:val="00F3580E"/>
    <w:rsid w:val="00F36AE4"/>
    <w:rsid w:val="00F37231"/>
    <w:rsid w:val="00F40BC4"/>
    <w:rsid w:val="00F40E01"/>
    <w:rsid w:val="00F434C5"/>
    <w:rsid w:val="00F45BEA"/>
    <w:rsid w:val="00F474EC"/>
    <w:rsid w:val="00F47833"/>
    <w:rsid w:val="00F47B27"/>
    <w:rsid w:val="00F51E2F"/>
    <w:rsid w:val="00F53891"/>
    <w:rsid w:val="00F5392C"/>
    <w:rsid w:val="00F53C3C"/>
    <w:rsid w:val="00F5600E"/>
    <w:rsid w:val="00F60312"/>
    <w:rsid w:val="00F61375"/>
    <w:rsid w:val="00F62FF1"/>
    <w:rsid w:val="00F631D8"/>
    <w:rsid w:val="00F64CE9"/>
    <w:rsid w:val="00F65A51"/>
    <w:rsid w:val="00F66251"/>
    <w:rsid w:val="00F6652F"/>
    <w:rsid w:val="00F70FBD"/>
    <w:rsid w:val="00F71A89"/>
    <w:rsid w:val="00F74091"/>
    <w:rsid w:val="00F74370"/>
    <w:rsid w:val="00F76CBF"/>
    <w:rsid w:val="00F77047"/>
    <w:rsid w:val="00F7728E"/>
    <w:rsid w:val="00F7739D"/>
    <w:rsid w:val="00F8108F"/>
    <w:rsid w:val="00F81B18"/>
    <w:rsid w:val="00F84569"/>
    <w:rsid w:val="00F84A7C"/>
    <w:rsid w:val="00F864D5"/>
    <w:rsid w:val="00F91D15"/>
    <w:rsid w:val="00F932DA"/>
    <w:rsid w:val="00F977F5"/>
    <w:rsid w:val="00FA1C5D"/>
    <w:rsid w:val="00FA32B8"/>
    <w:rsid w:val="00FA56D9"/>
    <w:rsid w:val="00FB2870"/>
    <w:rsid w:val="00FB6E8F"/>
    <w:rsid w:val="00FB7D4A"/>
    <w:rsid w:val="00FC5B60"/>
    <w:rsid w:val="00FC609F"/>
    <w:rsid w:val="00FC61D9"/>
    <w:rsid w:val="00FC79B0"/>
    <w:rsid w:val="00FD0CFD"/>
    <w:rsid w:val="00FD1CDF"/>
    <w:rsid w:val="00FD26DB"/>
    <w:rsid w:val="00FD72E6"/>
    <w:rsid w:val="00FD7720"/>
    <w:rsid w:val="00FD7889"/>
    <w:rsid w:val="00FE0051"/>
    <w:rsid w:val="00FE1E97"/>
    <w:rsid w:val="00FE2892"/>
    <w:rsid w:val="00FE5EF5"/>
    <w:rsid w:val="00FE7B45"/>
    <w:rsid w:val="00FF0771"/>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25F05FB1"/>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B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5161">
      <w:bodyDiv w:val="1"/>
      <w:marLeft w:val="0"/>
      <w:marRight w:val="0"/>
      <w:marTop w:val="0"/>
      <w:marBottom w:val="0"/>
      <w:divBdr>
        <w:top w:val="none" w:sz="0" w:space="0" w:color="auto"/>
        <w:left w:val="none" w:sz="0" w:space="0" w:color="auto"/>
        <w:bottom w:val="none" w:sz="0" w:space="0" w:color="auto"/>
        <w:right w:val="none" w:sz="0" w:space="0" w:color="auto"/>
      </w:divBdr>
    </w:div>
    <w:div w:id="713307284">
      <w:bodyDiv w:val="1"/>
      <w:marLeft w:val="0"/>
      <w:marRight w:val="0"/>
      <w:marTop w:val="0"/>
      <w:marBottom w:val="0"/>
      <w:divBdr>
        <w:top w:val="none" w:sz="0" w:space="0" w:color="auto"/>
        <w:left w:val="none" w:sz="0" w:space="0" w:color="auto"/>
        <w:bottom w:val="none" w:sz="0" w:space="0" w:color="auto"/>
        <w:right w:val="none" w:sz="0" w:space="0" w:color="auto"/>
      </w:divBdr>
    </w:div>
    <w:div w:id="1074014966">
      <w:bodyDiv w:val="1"/>
      <w:marLeft w:val="0"/>
      <w:marRight w:val="0"/>
      <w:marTop w:val="0"/>
      <w:marBottom w:val="0"/>
      <w:divBdr>
        <w:top w:val="none" w:sz="0" w:space="0" w:color="auto"/>
        <w:left w:val="none" w:sz="0" w:space="0" w:color="auto"/>
        <w:bottom w:val="none" w:sz="0" w:space="0" w:color="auto"/>
        <w:right w:val="none" w:sz="0" w:space="0" w:color="auto"/>
      </w:divBdr>
    </w:div>
    <w:div w:id="1599633700">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hyperlink" Target="https://www.ncoss.org.au/policy-advocacy/policy-research-publications/mapping-economic-disadvantage-in-ns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resources/statistics/social-housing-residential-dwellings/facs-quarterly-statistics-social-housing-dwelli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ahuri.edu.au/research/brief/are-there-1-million-empty-homes-and-13-million-unused-bedrooms" TargetMode="External"/><Relationship Id="rId37" Type="http://schemas.openxmlformats.org/officeDocument/2006/relationships/hyperlink" Target="https://communityhousing.org.au/our-impact/data-dashboar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housing/help/applying-assistance/expected-waiting-times" TargetMode="External"/><Relationship Id="rId36" Type="http://schemas.openxmlformats.org/officeDocument/2006/relationships/hyperlink" Target="https://communityhousing.org.au/wp-content/uploads/2022/08/Community-Housing-Snapshot-2022.pdf"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facs.nsw.gov.au/resources/statistics/social-housing-delivery2/interactive-dashboar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resources/nsw-local-government-housing-kit/chapters/local-government-housing-kit-database" TargetMode="External"/><Relationship Id="rId30" Type="http://schemas.openxmlformats.org/officeDocument/2006/relationships/hyperlink" Target="https://public.tableau.com/app/profile/facs.statistics/viz/Social_Housing_Residential_Dwellings/Dashboard" TargetMode="External"/><Relationship Id="rId35" Type="http://schemas.openxmlformats.org/officeDocument/2006/relationships/hyperlink" Target="https://sgsep.com.au/projects/rental-affordability-inde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ihw.gov.au/reports/australias-welfare/indigenous-housing" TargetMode="External"/><Relationship Id="rId38" Type="http://schemas.openxmlformats.org/officeDocument/2006/relationships/hyperlink" Target="https://www.rch.nsw.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oss.org.au/wp-content/uploads/2023/04/NCOSS_final-report-25-Apr-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8A6A-6AA1-45DF-A786-293165B2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771</TotalTime>
  <Pages>19</Pages>
  <Words>4388</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28951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 What's happening with supply</dc:title>
  <dc:creator>Laura Yan Guo</dc:creator>
  <cp:lastModifiedBy>JOSHUA YOUKHANA</cp:lastModifiedBy>
  <cp:revision>66</cp:revision>
  <cp:lastPrinted>1900-12-31T14:00:00Z</cp:lastPrinted>
  <dcterms:created xsi:type="dcterms:W3CDTF">2023-03-07T03:55:00Z</dcterms:created>
  <dcterms:modified xsi:type="dcterms:W3CDTF">2023-09-11T23:50:00Z</dcterms:modified>
</cp:coreProperties>
</file>