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1F5D" w14:textId="77777777" w:rsidR="0050388E" w:rsidRPr="00CE3DDD" w:rsidRDefault="00BB3F50" w:rsidP="0050388E">
      <w:pPr>
        <w:rPr>
          <w:color w:val="008000"/>
          <w:sz w:val="32"/>
        </w:rPr>
      </w:pPr>
      <w:r>
        <w:rPr>
          <w:b/>
          <w:color w:val="008000"/>
          <w:sz w:val="32"/>
        </w:rPr>
        <w:t xml:space="preserve">South and East Tablelands </w:t>
      </w:r>
      <w:r w:rsidR="0050388E" w:rsidRPr="00CE3DDD">
        <w:rPr>
          <w:b/>
          <w:color w:val="008000"/>
          <w:sz w:val="32"/>
        </w:rPr>
        <w:t xml:space="preserve">– What’s </w:t>
      </w:r>
      <w:r w:rsidR="0050388E">
        <w:rPr>
          <w:b/>
          <w:color w:val="008000"/>
          <w:sz w:val="32"/>
        </w:rPr>
        <w:t xml:space="preserve">Happening in </w:t>
      </w:r>
      <w:r w:rsidR="0050388E" w:rsidRPr="00CE3DDD">
        <w:rPr>
          <w:b/>
          <w:color w:val="008000"/>
          <w:sz w:val="32"/>
        </w:rPr>
        <w:t>the</w:t>
      </w:r>
      <w:r w:rsidR="0050388E">
        <w:rPr>
          <w:b/>
          <w:color w:val="008000"/>
          <w:sz w:val="32"/>
        </w:rPr>
        <w:t xml:space="preserve"> Housing Market</w:t>
      </w:r>
      <w:r w:rsidR="0050388E" w:rsidRPr="00CE3DDD">
        <w:rPr>
          <w:b/>
          <w:color w:val="008000"/>
          <w:sz w:val="32"/>
        </w:rPr>
        <w:t>?</w:t>
      </w:r>
    </w:p>
    <w:p w14:paraId="505B8A4F" w14:textId="77777777" w:rsidR="003A68E8" w:rsidRDefault="003A68E8" w:rsidP="003A68E8">
      <w:pPr>
        <w:rPr>
          <w:sz w:val="22"/>
          <w:szCs w:val="22"/>
        </w:rPr>
      </w:pPr>
      <w:r>
        <w:rPr>
          <w:sz w:val="22"/>
          <w:szCs w:val="22"/>
        </w:rPr>
        <w:t xml:space="preserve">This Housing Snapshot looks at aspects of the housing market in the South and East Tablelands,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62D5E591" w14:textId="7C533222" w:rsidR="003A68E8" w:rsidRDefault="003A68E8" w:rsidP="003A68E8">
      <w:pPr>
        <w:rPr>
          <w:sz w:val="22"/>
          <w:szCs w:val="22"/>
        </w:rPr>
      </w:pPr>
      <w:r w:rsidRPr="003A68E8">
        <w:rPr>
          <w:sz w:val="22"/>
          <w:szCs w:val="22"/>
        </w:rPr>
        <w:t xml:space="preserve">The South and East Tablelands region covers the nine local government areas of Bega Valley, Eurobodalla, Goulburn </w:t>
      </w:r>
      <w:proofErr w:type="spellStart"/>
      <w:r w:rsidRPr="003A68E8">
        <w:rPr>
          <w:sz w:val="22"/>
          <w:szCs w:val="22"/>
        </w:rPr>
        <w:t>Mulwaree</w:t>
      </w:r>
      <w:proofErr w:type="spellEnd"/>
      <w:r w:rsidRPr="003A68E8">
        <w:rPr>
          <w:sz w:val="22"/>
          <w:szCs w:val="22"/>
        </w:rPr>
        <w:t>, Hilltops, Queanbeyan-</w:t>
      </w:r>
      <w:proofErr w:type="spellStart"/>
      <w:r w:rsidRPr="003A68E8">
        <w:rPr>
          <w:sz w:val="22"/>
          <w:szCs w:val="22"/>
        </w:rPr>
        <w:t>Palerang</w:t>
      </w:r>
      <w:proofErr w:type="spellEnd"/>
      <w:r w:rsidRPr="003A68E8">
        <w:rPr>
          <w:sz w:val="22"/>
          <w:szCs w:val="22"/>
        </w:rPr>
        <w:t xml:space="preserve">, Snowy Monaro Regional, Upper Lachlan, </w:t>
      </w:r>
      <w:proofErr w:type="spellStart"/>
      <w:r w:rsidRPr="003A68E8">
        <w:rPr>
          <w:sz w:val="22"/>
          <w:szCs w:val="22"/>
        </w:rPr>
        <w:t>Wingecarribee</w:t>
      </w:r>
      <w:proofErr w:type="spellEnd"/>
      <w:r w:rsidRPr="003A68E8">
        <w:rPr>
          <w:sz w:val="22"/>
          <w:szCs w:val="22"/>
        </w:rPr>
        <w:t xml:space="preserve"> and Yass Valley.  The region adjoins both Sydney and Canberra and is impacted by those city housing markets and in addition the housing markets of the coastal LGAs and Snowy Monaro are particularly impacted by tourism.  Consequently housing market conditions and rent and purchase affordability varies significantly within the region and in some locations by season. </w:t>
      </w:r>
      <w:r>
        <w:rPr>
          <w:sz w:val="22"/>
          <w:szCs w:val="22"/>
        </w:rPr>
        <w:t xml:space="preserve">The region has also been impacted by bushfires and by outmigration from the cities during Covid and the increased capacity to work remotely. </w:t>
      </w:r>
      <w:r w:rsidRPr="003A68E8">
        <w:rPr>
          <w:sz w:val="22"/>
          <w:szCs w:val="22"/>
        </w:rPr>
        <w:t xml:space="preserve"> Nevertheless there are commonalities, with </w:t>
      </w:r>
      <w:r w:rsidRPr="005F4AE4">
        <w:rPr>
          <w:sz w:val="22"/>
          <w:szCs w:val="22"/>
        </w:rPr>
        <w:t>declining numbers of affordable rental properties despite the increase in low income rental households in housing stress</w:t>
      </w:r>
      <w:r w:rsidR="00E70ACA">
        <w:rPr>
          <w:sz w:val="22"/>
          <w:szCs w:val="22"/>
        </w:rPr>
        <w:t>.</w:t>
      </w:r>
    </w:p>
    <w:p w14:paraId="1EB73E36" w14:textId="77777777" w:rsidR="00E70ACA" w:rsidRDefault="00E70ACA" w:rsidP="003A68E8">
      <w:pPr>
        <w:rPr>
          <w:sz w:val="22"/>
          <w:szCs w:val="22"/>
        </w:rPr>
      </w:pPr>
    </w:p>
    <w:p w14:paraId="7CF9CD73" w14:textId="77777777" w:rsidR="000B03FA" w:rsidRDefault="000B03FA" w:rsidP="0050388E"/>
    <w:p w14:paraId="164BBBCD" w14:textId="77777777" w:rsidR="00E1656E" w:rsidRPr="006F3EEE" w:rsidRDefault="00E1656E" w:rsidP="00E1656E">
      <w:pPr>
        <w:pStyle w:val="Heading1"/>
        <w:jc w:val="both"/>
        <w:rPr>
          <w:b/>
          <w:i/>
          <w:color w:val="008000"/>
          <w:kern w:val="0"/>
          <w:sz w:val="32"/>
        </w:rPr>
      </w:pPr>
      <w:r w:rsidRPr="006F3EEE">
        <w:rPr>
          <w:b/>
          <w:i/>
          <w:color w:val="008000"/>
          <w:kern w:val="0"/>
          <w:sz w:val="32"/>
        </w:rPr>
        <w:t>Housing Market - Rental</w:t>
      </w:r>
    </w:p>
    <w:p w14:paraId="31DB8694" w14:textId="77777777" w:rsidR="00E70ACA" w:rsidRPr="00E70ACA" w:rsidRDefault="00E70ACA" w:rsidP="00E1656E">
      <w:pPr>
        <w:jc w:val="both"/>
        <w:rPr>
          <w:b/>
          <w:color w:val="008000"/>
          <w:sz w:val="22"/>
          <w:szCs w:val="22"/>
        </w:rPr>
      </w:pPr>
    </w:p>
    <w:p w14:paraId="5D3558BD" w14:textId="76DA5AD5" w:rsidR="00E1656E" w:rsidRPr="001C58F3" w:rsidRDefault="00E1656E" w:rsidP="00E1656E">
      <w:pPr>
        <w:jc w:val="both"/>
        <w:rPr>
          <w:b/>
          <w:color w:val="008000"/>
          <w:sz w:val="32"/>
        </w:rPr>
      </w:pPr>
      <w:r>
        <w:rPr>
          <w:b/>
          <w:color w:val="008000"/>
          <w:sz w:val="32"/>
        </w:rPr>
        <w:t>R</w:t>
      </w:r>
      <w:r w:rsidRPr="001C58F3">
        <w:rPr>
          <w:b/>
          <w:color w:val="008000"/>
          <w:sz w:val="32"/>
        </w:rPr>
        <w:t>e</w:t>
      </w:r>
      <w:r>
        <w:rPr>
          <w:b/>
          <w:color w:val="008000"/>
          <w:sz w:val="32"/>
        </w:rPr>
        <w:t>nts</w:t>
      </w:r>
    </w:p>
    <w:p w14:paraId="629A32E2" w14:textId="77777777" w:rsidR="00E9012F" w:rsidRDefault="000D73FA" w:rsidP="00BE1D4B">
      <w:pPr>
        <w:numPr>
          <w:ilvl w:val="0"/>
          <w:numId w:val="2"/>
        </w:numPr>
        <w:spacing w:before="0" w:after="0"/>
        <w:jc w:val="both"/>
        <w:rPr>
          <w:sz w:val="22"/>
          <w:szCs w:val="22"/>
        </w:rPr>
      </w:pPr>
      <w:r>
        <w:rPr>
          <w:sz w:val="22"/>
          <w:szCs w:val="22"/>
        </w:rPr>
        <w:t xml:space="preserve">Looking at all residential </w:t>
      </w:r>
      <w:r w:rsidR="007F50E8">
        <w:rPr>
          <w:sz w:val="22"/>
          <w:szCs w:val="22"/>
        </w:rPr>
        <w:t xml:space="preserve">dwelling median </w:t>
      </w:r>
      <w:r w:rsidR="00811F9B">
        <w:rPr>
          <w:sz w:val="22"/>
          <w:szCs w:val="22"/>
        </w:rPr>
        <w:t xml:space="preserve">rentals </w:t>
      </w:r>
      <w:r>
        <w:rPr>
          <w:sz w:val="22"/>
          <w:szCs w:val="22"/>
        </w:rPr>
        <w:t xml:space="preserve">combined </w:t>
      </w:r>
      <w:r w:rsidR="000B7B78">
        <w:rPr>
          <w:sz w:val="22"/>
          <w:szCs w:val="22"/>
        </w:rPr>
        <w:t>together</w:t>
      </w:r>
      <w:r>
        <w:rPr>
          <w:sz w:val="22"/>
          <w:szCs w:val="22"/>
        </w:rPr>
        <w:t>, t</w:t>
      </w:r>
      <w:r w:rsidR="00E1656E" w:rsidRPr="00E9012F">
        <w:rPr>
          <w:sz w:val="22"/>
          <w:szCs w:val="22"/>
        </w:rPr>
        <w:t>here have been strong increases in median rents</w:t>
      </w:r>
      <w:r w:rsidR="000B2289">
        <w:rPr>
          <w:sz w:val="22"/>
          <w:szCs w:val="22"/>
        </w:rPr>
        <w:t xml:space="preserve"> </w:t>
      </w:r>
      <w:r w:rsidR="00A937ED">
        <w:rPr>
          <w:sz w:val="22"/>
          <w:szCs w:val="22"/>
        </w:rPr>
        <w:t xml:space="preserve">in the </w:t>
      </w:r>
      <w:r w:rsidR="007F50E8">
        <w:rPr>
          <w:sz w:val="22"/>
          <w:szCs w:val="22"/>
        </w:rPr>
        <w:t xml:space="preserve">South East and Tablelands </w:t>
      </w:r>
      <w:r w:rsidR="00E1656E" w:rsidRPr="00E9012F">
        <w:rPr>
          <w:sz w:val="22"/>
          <w:szCs w:val="22"/>
        </w:rPr>
        <w:t>region</w:t>
      </w:r>
      <w:r w:rsidR="004332B9">
        <w:rPr>
          <w:sz w:val="22"/>
          <w:szCs w:val="22"/>
        </w:rPr>
        <w:t>, particularly since the mid 2000’s</w:t>
      </w:r>
      <w:r w:rsidR="00FB78B0">
        <w:rPr>
          <w:sz w:val="22"/>
          <w:szCs w:val="22"/>
        </w:rPr>
        <w:t>, as indicated in the graph below</w:t>
      </w:r>
      <w:r w:rsidR="00E9012F">
        <w:rPr>
          <w:sz w:val="22"/>
          <w:szCs w:val="22"/>
        </w:rPr>
        <w:t>.</w:t>
      </w:r>
    </w:p>
    <w:p w14:paraId="509EFB57" w14:textId="2909A6DF" w:rsidR="00A165E3" w:rsidRDefault="00A165E3" w:rsidP="00BE1D4B">
      <w:pPr>
        <w:numPr>
          <w:ilvl w:val="0"/>
          <w:numId w:val="2"/>
        </w:numPr>
        <w:spacing w:before="0" w:after="0"/>
        <w:jc w:val="both"/>
        <w:rPr>
          <w:sz w:val="22"/>
          <w:szCs w:val="22"/>
        </w:rPr>
      </w:pPr>
      <w:r>
        <w:rPr>
          <w:sz w:val="22"/>
          <w:szCs w:val="22"/>
        </w:rPr>
        <w:t xml:space="preserve">Note that the median rents for Snowy River and Snowy Monaro Regional fluctuate </w:t>
      </w:r>
      <w:r w:rsidR="004332B9">
        <w:rPr>
          <w:sz w:val="22"/>
          <w:szCs w:val="22"/>
        </w:rPr>
        <w:t xml:space="preserve">more than other LGAs in the region </w:t>
      </w:r>
      <w:r>
        <w:rPr>
          <w:sz w:val="22"/>
          <w:szCs w:val="22"/>
        </w:rPr>
        <w:t xml:space="preserve">due to strong impact </w:t>
      </w:r>
      <w:r w:rsidR="004332B9">
        <w:rPr>
          <w:sz w:val="22"/>
          <w:szCs w:val="22"/>
        </w:rPr>
        <w:t>from</w:t>
      </w:r>
      <w:r>
        <w:rPr>
          <w:sz w:val="22"/>
          <w:szCs w:val="22"/>
        </w:rPr>
        <w:t xml:space="preserve"> tourism.</w:t>
      </w:r>
    </w:p>
    <w:p w14:paraId="725393BF" w14:textId="64DD02AC" w:rsidR="00E70ACA" w:rsidRDefault="00E70ACA" w:rsidP="00BE1D4B">
      <w:pPr>
        <w:numPr>
          <w:ilvl w:val="0"/>
          <w:numId w:val="2"/>
        </w:numPr>
        <w:spacing w:before="0" w:after="0"/>
        <w:jc w:val="both"/>
        <w:rPr>
          <w:sz w:val="22"/>
          <w:szCs w:val="22"/>
        </w:rPr>
      </w:pPr>
      <w:r>
        <w:rPr>
          <w:sz w:val="22"/>
          <w:szCs w:val="22"/>
        </w:rPr>
        <w:t>The graph below shows the long term trend in median rents (from 1990 to 2022) in all the South and East Tableland LGAs.</w:t>
      </w:r>
    </w:p>
    <w:p w14:paraId="7E1D2061" w14:textId="77777777" w:rsidR="00F76371" w:rsidRDefault="00F76371" w:rsidP="00F76371">
      <w:pPr>
        <w:spacing w:before="0" w:after="0"/>
        <w:jc w:val="both"/>
        <w:rPr>
          <w:sz w:val="22"/>
          <w:szCs w:val="22"/>
        </w:rPr>
      </w:pPr>
    </w:p>
    <w:p w14:paraId="3E701908" w14:textId="77777777" w:rsidR="00F76371" w:rsidRDefault="00F76371" w:rsidP="00F76371">
      <w:pPr>
        <w:spacing w:before="0" w:after="0"/>
        <w:jc w:val="both"/>
        <w:rPr>
          <w:sz w:val="22"/>
          <w:szCs w:val="22"/>
        </w:rPr>
      </w:pPr>
      <w:r>
        <w:rPr>
          <w:noProof/>
          <w:sz w:val="22"/>
          <w:szCs w:val="22"/>
        </w:rPr>
        <w:lastRenderedPageBreak/>
        <w:drawing>
          <wp:inline distT="0" distB="0" distL="0" distR="0" wp14:anchorId="6EB6F8C8" wp14:editId="7C72FD86">
            <wp:extent cx="6075045" cy="3401714"/>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5045" cy="3401714"/>
                    </a:xfrm>
                    <a:prstGeom prst="rect">
                      <a:avLst/>
                    </a:prstGeom>
                    <a:noFill/>
                  </pic:spPr>
                </pic:pic>
              </a:graphicData>
            </a:graphic>
          </wp:inline>
        </w:drawing>
      </w:r>
    </w:p>
    <w:p w14:paraId="6D7D220B" w14:textId="77777777" w:rsidR="00BB3F50" w:rsidRDefault="00BB3F50" w:rsidP="00A165E3">
      <w:pPr>
        <w:spacing w:before="0" w:after="0"/>
        <w:jc w:val="both"/>
        <w:rPr>
          <w:sz w:val="22"/>
          <w:szCs w:val="22"/>
        </w:rPr>
      </w:pPr>
    </w:p>
    <w:p w14:paraId="748FED8A" w14:textId="77777777" w:rsidR="00FB78B0" w:rsidRDefault="00FB78B0" w:rsidP="00BE1D4B">
      <w:pPr>
        <w:pStyle w:val="ListParagraph"/>
        <w:numPr>
          <w:ilvl w:val="0"/>
          <w:numId w:val="2"/>
        </w:numPr>
        <w:spacing w:before="0" w:after="0"/>
        <w:rPr>
          <w:sz w:val="22"/>
          <w:szCs w:val="22"/>
        </w:rPr>
      </w:pPr>
      <w:r w:rsidRPr="00FB78B0">
        <w:rPr>
          <w:sz w:val="22"/>
          <w:szCs w:val="22"/>
        </w:rPr>
        <w:t>Between 2017 and 2022, median rents increased by between 28.0% in Hilltops and 78.6% in Snowy Monaro Regional</w:t>
      </w:r>
      <w:r>
        <w:rPr>
          <w:sz w:val="22"/>
          <w:szCs w:val="22"/>
        </w:rPr>
        <w:t>, as the table below shows.</w:t>
      </w:r>
    </w:p>
    <w:p w14:paraId="5098B68D" w14:textId="77777777" w:rsidR="00FB78B0" w:rsidRDefault="00FB78B0" w:rsidP="00FB78B0">
      <w:pPr>
        <w:spacing w:before="0" w:after="0"/>
        <w:rPr>
          <w:sz w:val="22"/>
          <w:szCs w:val="22"/>
        </w:rPr>
      </w:pPr>
    </w:p>
    <w:p w14:paraId="0DA01CF6" w14:textId="77777777" w:rsidR="00FB78B0" w:rsidRDefault="00FB78B0" w:rsidP="00FB78B0">
      <w:pPr>
        <w:spacing w:before="0" w:after="0"/>
        <w:ind w:left="360"/>
        <w:rPr>
          <w:sz w:val="22"/>
          <w:szCs w:val="22"/>
        </w:rPr>
      </w:pPr>
      <w:r w:rsidRPr="00FB78B0">
        <w:rPr>
          <w:noProof/>
        </w:rPr>
        <w:drawing>
          <wp:inline distT="0" distB="0" distL="0" distR="0" wp14:anchorId="6274FB08" wp14:editId="3CCF5DC3">
            <wp:extent cx="3443605" cy="210185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605" cy="2101850"/>
                    </a:xfrm>
                    <a:prstGeom prst="rect">
                      <a:avLst/>
                    </a:prstGeom>
                    <a:noFill/>
                    <a:ln>
                      <a:noFill/>
                    </a:ln>
                  </pic:spPr>
                </pic:pic>
              </a:graphicData>
            </a:graphic>
          </wp:inline>
        </w:drawing>
      </w:r>
    </w:p>
    <w:p w14:paraId="5283C5C2" w14:textId="77777777" w:rsidR="00FB78B0" w:rsidRPr="00FB78B0" w:rsidRDefault="00FB78B0" w:rsidP="00FB78B0">
      <w:pPr>
        <w:spacing w:before="0" w:after="0"/>
        <w:rPr>
          <w:sz w:val="22"/>
          <w:szCs w:val="22"/>
        </w:rPr>
      </w:pPr>
    </w:p>
    <w:p w14:paraId="24468CC1" w14:textId="77777777" w:rsidR="00F426F3" w:rsidRDefault="00FB78B0" w:rsidP="00BE1D4B">
      <w:pPr>
        <w:pStyle w:val="ListParagraph"/>
        <w:numPr>
          <w:ilvl w:val="0"/>
          <w:numId w:val="2"/>
        </w:numPr>
        <w:spacing w:before="0" w:after="0"/>
        <w:rPr>
          <w:sz w:val="22"/>
          <w:szCs w:val="22"/>
        </w:rPr>
      </w:pPr>
      <w:r>
        <w:rPr>
          <w:sz w:val="22"/>
          <w:szCs w:val="22"/>
        </w:rPr>
        <w:t xml:space="preserve">However, changes in rents over this time frame were more complex.  </w:t>
      </w:r>
      <w:r w:rsidR="00F426F3">
        <w:rPr>
          <w:sz w:val="22"/>
          <w:szCs w:val="22"/>
        </w:rPr>
        <w:t xml:space="preserve">Between 2019 and 2020 when Covid lockdowns were introduced, there were generally lower increases, and in some cases significant decreases in median rents.  Given the impact on tourism during lockdown, this is not surprising in this region.  </w:t>
      </w:r>
      <w:r w:rsidR="00196624">
        <w:rPr>
          <w:sz w:val="22"/>
          <w:szCs w:val="22"/>
        </w:rPr>
        <w:t>Snowy Monaro Regional (-19.4% for one bed, -21.1% for two bed</w:t>
      </w:r>
      <w:r w:rsidR="00B17858">
        <w:rPr>
          <w:sz w:val="22"/>
          <w:szCs w:val="22"/>
        </w:rPr>
        <w:t xml:space="preserve">, </w:t>
      </w:r>
      <w:r w:rsidR="00196624">
        <w:rPr>
          <w:sz w:val="22"/>
          <w:szCs w:val="22"/>
        </w:rPr>
        <w:t>-12.6% for three bed and -8.0</w:t>
      </w:r>
      <w:r w:rsidR="00B17858">
        <w:rPr>
          <w:sz w:val="22"/>
          <w:szCs w:val="22"/>
        </w:rPr>
        <w:t>%</w:t>
      </w:r>
      <w:r w:rsidR="00196624">
        <w:rPr>
          <w:sz w:val="22"/>
          <w:szCs w:val="22"/>
        </w:rPr>
        <w:t xml:space="preserve"> for four) and </w:t>
      </w:r>
      <w:proofErr w:type="spellStart"/>
      <w:r w:rsidR="00196624">
        <w:rPr>
          <w:sz w:val="22"/>
          <w:szCs w:val="22"/>
        </w:rPr>
        <w:t>Wingecarribee</w:t>
      </w:r>
      <w:proofErr w:type="spellEnd"/>
      <w:r w:rsidR="00196624">
        <w:rPr>
          <w:sz w:val="22"/>
          <w:szCs w:val="22"/>
        </w:rPr>
        <w:t xml:space="preserve"> (-15.2% for one bedroom) had the most </w:t>
      </w:r>
      <w:proofErr w:type="spellStart"/>
      <w:r w:rsidR="00196624">
        <w:rPr>
          <w:sz w:val="22"/>
          <w:szCs w:val="22"/>
        </w:rPr>
        <w:t>signigicant</w:t>
      </w:r>
      <w:proofErr w:type="spellEnd"/>
      <w:r w:rsidR="00196624">
        <w:rPr>
          <w:sz w:val="22"/>
          <w:szCs w:val="22"/>
        </w:rPr>
        <w:t xml:space="preserve"> declines in median rentals over this period.</w:t>
      </w:r>
    </w:p>
    <w:p w14:paraId="41928375" w14:textId="77777777" w:rsidR="00196624" w:rsidRDefault="00196624" w:rsidP="00BE1D4B">
      <w:pPr>
        <w:pStyle w:val="ListParagraph"/>
        <w:numPr>
          <w:ilvl w:val="0"/>
          <w:numId w:val="2"/>
        </w:numPr>
        <w:spacing w:before="0" w:after="0"/>
        <w:rPr>
          <w:sz w:val="22"/>
          <w:szCs w:val="22"/>
        </w:rPr>
      </w:pPr>
      <w:r>
        <w:rPr>
          <w:sz w:val="22"/>
          <w:szCs w:val="22"/>
        </w:rPr>
        <w:t xml:space="preserve">At the same time both Bega Valley and Eurobodalla experienced strong median rental increases for one bedroom properties (19.0% and 25.0% respectively) </w:t>
      </w:r>
      <w:r w:rsidR="00BE1D4B">
        <w:rPr>
          <w:sz w:val="22"/>
          <w:szCs w:val="22"/>
        </w:rPr>
        <w:t xml:space="preserve">while in Goulburn </w:t>
      </w:r>
      <w:proofErr w:type="spellStart"/>
      <w:r w:rsidR="00BE1D4B">
        <w:rPr>
          <w:sz w:val="22"/>
          <w:szCs w:val="22"/>
        </w:rPr>
        <w:t>Mulwaree</w:t>
      </w:r>
      <w:proofErr w:type="spellEnd"/>
      <w:r w:rsidR="00BE1D4B">
        <w:rPr>
          <w:sz w:val="22"/>
          <w:szCs w:val="22"/>
        </w:rPr>
        <w:t xml:space="preserve"> there was no change at all in median rents.</w:t>
      </w:r>
    </w:p>
    <w:p w14:paraId="2CC9F3F3" w14:textId="77777777" w:rsidR="00F426F3" w:rsidRDefault="00BE1D4B" w:rsidP="00BE1D4B">
      <w:pPr>
        <w:pStyle w:val="ListParagraph"/>
        <w:numPr>
          <w:ilvl w:val="0"/>
          <w:numId w:val="2"/>
        </w:numPr>
        <w:spacing w:before="0" w:after="0"/>
        <w:rPr>
          <w:sz w:val="22"/>
          <w:szCs w:val="22"/>
        </w:rPr>
      </w:pPr>
      <w:r>
        <w:rPr>
          <w:sz w:val="22"/>
          <w:szCs w:val="22"/>
        </w:rPr>
        <w:lastRenderedPageBreak/>
        <w:t>The table below gives the weekly median rents in dollar terms and the changes between 2019 and 2020 for South and East Tablelands LGAs</w:t>
      </w:r>
      <w:r w:rsidR="00F426F3">
        <w:rPr>
          <w:sz w:val="22"/>
          <w:szCs w:val="22"/>
        </w:rPr>
        <w:t>.</w:t>
      </w:r>
    </w:p>
    <w:p w14:paraId="5A5982D7" w14:textId="77777777" w:rsidR="004332B9" w:rsidRDefault="004332B9" w:rsidP="004332B9">
      <w:pPr>
        <w:spacing w:before="0" w:after="0"/>
        <w:jc w:val="both"/>
        <w:rPr>
          <w:sz w:val="22"/>
          <w:szCs w:val="22"/>
        </w:rPr>
      </w:pPr>
    </w:p>
    <w:p w14:paraId="36FD4BB8" w14:textId="77777777" w:rsidR="004332B9" w:rsidRDefault="004332B9" w:rsidP="004332B9">
      <w:pPr>
        <w:spacing w:before="0" w:after="0"/>
        <w:jc w:val="both"/>
        <w:rPr>
          <w:sz w:val="22"/>
          <w:szCs w:val="22"/>
        </w:rPr>
      </w:pPr>
      <w:r w:rsidRPr="004332B9">
        <w:rPr>
          <w:noProof/>
        </w:rPr>
        <w:drawing>
          <wp:inline distT="0" distB="0" distL="0" distR="0" wp14:anchorId="7A4CE557" wp14:editId="73074332">
            <wp:extent cx="6066520" cy="146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160" cy="1468939"/>
                    </a:xfrm>
                    <a:prstGeom prst="rect">
                      <a:avLst/>
                    </a:prstGeom>
                    <a:noFill/>
                    <a:ln>
                      <a:noFill/>
                    </a:ln>
                  </pic:spPr>
                </pic:pic>
              </a:graphicData>
            </a:graphic>
          </wp:inline>
        </w:drawing>
      </w:r>
    </w:p>
    <w:p w14:paraId="2E4EB4FA" w14:textId="77777777" w:rsidR="004332B9" w:rsidRDefault="004332B9" w:rsidP="004332B9">
      <w:pPr>
        <w:spacing w:before="0" w:after="0"/>
        <w:jc w:val="both"/>
        <w:rPr>
          <w:sz w:val="22"/>
          <w:szCs w:val="22"/>
        </w:rPr>
      </w:pPr>
    </w:p>
    <w:p w14:paraId="1C819A36" w14:textId="77777777" w:rsidR="00E925EB" w:rsidRDefault="00E925EB" w:rsidP="00BE1D4B">
      <w:pPr>
        <w:pStyle w:val="ListParagraph"/>
        <w:numPr>
          <w:ilvl w:val="0"/>
          <w:numId w:val="2"/>
        </w:numPr>
        <w:spacing w:before="0" w:after="0"/>
        <w:jc w:val="both"/>
        <w:rPr>
          <w:sz w:val="22"/>
          <w:szCs w:val="22"/>
        </w:rPr>
      </w:pPr>
      <w:r>
        <w:rPr>
          <w:sz w:val="22"/>
          <w:szCs w:val="22"/>
        </w:rPr>
        <w:t xml:space="preserve">Between June 2020 and June 2022 a different pattern emerges, with all LGAs experiencing strong increases in median rents as the table below shows.  </w:t>
      </w:r>
    </w:p>
    <w:p w14:paraId="3305D6B8" w14:textId="77777777" w:rsidR="00BA1BD8" w:rsidRDefault="00BA1BD8" w:rsidP="00BE1D4B">
      <w:pPr>
        <w:pStyle w:val="ListParagraph"/>
        <w:numPr>
          <w:ilvl w:val="0"/>
          <w:numId w:val="2"/>
        </w:numPr>
        <w:spacing w:before="0" w:after="0"/>
        <w:jc w:val="both"/>
        <w:rPr>
          <w:sz w:val="22"/>
          <w:szCs w:val="22"/>
        </w:rPr>
      </w:pPr>
      <w:r>
        <w:rPr>
          <w:sz w:val="22"/>
          <w:szCs w:val="22"/>
        </w:rPr>
        <w:t xml:space="preserve">Over this time frame, Queanbeyan </w:t>
      </w:r>
      <w:proofErr w:type="spellStart"/>
      <w:r>
        <w:rPr>
          <w:sz w:val="22"/>
          <w:szCs w:val="22"/>
        </w:rPr>
        <w:t>Palerang</w:t>
      </w:r>
      <w:proofErr w:type="spellEnd"/>
      <w:r>
        <w:rPr>
          <w:sz w:val="22"/>
          <w:szCs w:val="22"/>
        </w:rPr>
        <w:t xml:space="preserve">, Snowy Monaro Regional, </w:t>
      </w:r>
      <w:proofErr w:type="spellStart"/>
      <w:r>
        <w:rPr>
          <w:sz w:val="22"/>
          <w:szCs w:val="22"/>
        </w:rPr>
        <w:t>Wingecarribee</w:t>
      </w:r>
      <w:proofErr w:type="spellEnd"/>
      <w:r>
        <w:rPr>
          <w:sz w:val="22"/>
          <w:szCs w:val="22"/>
        </w:rPr>
        <w:t xml:space="preserve"> and Yass Valley experienced the strongest increases in</w:t>
      </w:r>
      <w:r w:rsidR="00A1260F">
        <w:rPr>
          <w:sz w:val="22"/>
          <w:szCs w:val="22"/>
        </w:rPr>
        <w:t xml:space="preserve"> both</w:t>
      </w:r>
      <w:r>
        <w:rPr>
          <w:sz w:val="22"/>
          <w:szCs w:val="22"/>
        </w:rPr>
        <w:t xml:space="preserve"> dollar and percentage terms, with Bega Valley and Eurobodalla also having robust increases. </w:t>
      </w:r>
      <w:r w:rsidR="00A1260F">
        <w:rPr>
          <w:sz w:val="22"/>
          <w:szCs w:val="22"/>
        </w:rPr>
        <w:t xml:space="preserve">Between 2020 and 2022 median rents for three bedroom dwellings in Snowy Monaro Regional increased by $285 or 75%; in </w:t>
      </w:r>
      <w:proofErr w:type="spellStart"/>
      <w:r w:rsidR="00A1260F">
        <w:rPr>
          <w:sz w:val="22"/>
          <w:szCs w:val="22"/>
        </w:rPr>
        <w:t>Wingecarribee</w:t>
      </w:r>
      <w:proofErr w:type="spellEnd"/>
      <w:r w:rsidR="00A1260F">
        <w:rPr>
          <w:sz w:val="22"/>
          <w:szCs w:val="22"/>
        </w:rPr>
        <w:t xml:space="preserve"> by $200 or 44.4%, by $115 or 29.9% in Eurobodalla, by $107 or 21.7% in Queanbeyan, by $100 in both Bega Valley (25.0%) and Yass Valley </w:t>
      </w:r>
      <w:r w:rsidR="00606263">
        <w:rPr>
          <w:sz w:val="22"/>
          <w:szCs w:val="22"/>
        </w:rPr>
        <w:t>(25.0%).</w:t>
      </w:r>
    </w:p>
    <w:p w14:paraId="00EA3354" w14:textId="77777777" w:rsidR="00BE1D4B" w:rsidRDefault="00BE1D4B" w:rsidP="004332B9">
      <w:pPr>
        <w:spacing w:before="0" w:after="0"/>
        <w:jc w:val="both"/>
        <w:rPr>
          <w:sz w:val="22"/>
          <w:szCs w:val="22"/>
        </w:rPr>
      </w:pPr>
    </w:p>
    <w:p w14:paraId="33BFD26B" w14:textId="77777777" w:rsidR="004332B9" w:rsidRDefault="004332B9" w:rsidP="004332B9">
      <w:pPr>
        <w:spacing w:before="0" w:after="0"/>
        <w:jc w:val="both"/>
        <w:rPr>
          <w:sz w:val="22"/>
          <w:szCs w:val="22"/>
        </w:rPr>
      </w:pPr>
      <w:r w:rsidRPr="004332B9">
        <w:rPr>
          <w:noProof/>
        </w:rPr>
        <w:drawing>
          <wp:inline distT="0" distB="0" distL="0" distR="0" wp14:anchorId="78A9DA75" wp14:editId="272EC01A">
            <wp:extent cx="6105913" cy="1476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1631" cy="1482593"/>
                    </a:xfrm>
                    <a:prstGeom prst="rect">
                      <a:avLst/>
                    </a:prstGeom>
                    <a:noFill/>
                    <a:ln>
                      <a:noFill/>
                    </a:ln>
                  </pic:spPr>
                </pic:pic>
              </a:graphicData>
            </a:graphic>
          </wp:inline>
        </w:drawing>
      </w:r>
    </w:p>
    <w:p w14:paraId="60F8267C" w14:textId="77777777" w:rsidR="004332B9" w:rsidRDefault="004332B9" w:rsidP="004332B9">
      <w:pPr>
        <w:spacing w:before="0" w:after="0"/>
        <w:jc w:val="both"/>
        <w:rPr>
          <w:sz w:val="22"/>
          <w:szCs w:val="22"/>
        </w:rPr>
      </w:pPr>
    </w:p>
    <w:p w14:paraId="2AE94504" w14:textId="77777777" w:rsidR="00BA1BD8" w:rsidRDefault="00E925EB" w:rsidP="007B1CFF">
      <w:pPr>
        <w:pStyle w:val="ListParagraph"/>
        <w:numPr>
          <w:ilvl w:val="0"/>
          <w:numId w:val="2"/>
        </w:numPr>
        <w:spacing w:before="0" w:after="0"/>
        <w:jc w:val="both"/>
        <w:rPr>
          <w:sz w:val="22"/>
          <w:szCs w:val="22"/>
        </w:rPr>
      </w:pPr>
      <w:r w:rsidRPr="00BA1BD8">
        <w:rPr>
          <w:sz w:val="22"/>
          <w:szCs w:val="22"/>
        </w:rPr>
        <w:t>At June 20</w:t>
      </w:r>
      <w:r w:rsidR="00BA1BD8" w:rsidRPr="00BA1BD8">
        <w:rPr>
          <w:sz w:val="22"/>
          <w:szCs w:val="22"/>
        </w:rPr>
        <w:t>22</w:t>
      </w:r>
      <w:r w:rsidRPr="00BA1BD8">
        <w:rPr>
          <w:sz w:val="22"/>
          <w:szCs w:val="22"/>
        </w:rPr>
        <w:t xml:space="preserve">, median rents </w:t>
      </w:r>
      <w:r w:rsidR="00BA1BD8" w:rsidRPr="00BA1BD8">
        <w:rPr>
          <w:sz w:val="22"/>
          <w:szCs w:val="22"/>
        </w:rPr>
        <w:t xml:space="preserve">for one, two and three bedroom dwellings were highest in Snowy Monaro Regional ($448, $500 and $665) and highest in </w:t>
      </w:r>
      <w:proofErr w:type="spellStart"/>
      <w:r w:rsidR="00BA1BD8" w:rsidRPr="00BA1BD8">
        <w:rPr>
          <w:sz w:val="22"/>
          <w:szCs w:val="22"/>
        </w:rPr>
        <w:t>Wingecarribee</w:t>
      </w:r>
      <w:proofErr w:type="spellEnd"/>
      <w:r w:rsidR="00BA1BD8" w:rsidRPr="00BA1BD8">
        <w:rPr>
          <w:sz w:val="22"/>
          <w:szCs w:val="22"/>
        </w:rPr>
        <w:t xml:space="preserve"> for four bedroom ($800)</w:t>
      </w:r>
      <w:r w:rsidR="00BA1BD8">
        <w:rPr>
          <w:sz w:val="22"/>
          <w:szCs w:val="22"/>
        </w:rPr>
        <w:t>.</w:t>
      </w:r>
    </w:p>
    <w:p w14:paraId="52098411" w14:textId="77777777" w:rsidR="00FB78B0" w:rsidRDefault="00FB78B0" w:rsidP="007B1CFF">
      <w:pPr>
        <w:pStyle w:val="ListParagraph"/>
        <w:numPr>
          <w:ilvl w:val="0"/>
          <w:numId w:val="2"/>
        </w:numPr>
        <w:spacing w:before="0" w:after="0"/>
        <w:jc w:val="both"/>
        <w:rPr>
          <w:sz w:val="22"/>
          <w:szCs w:val="22"/>
        </w:rPr>
      </w:pPr>
      <w:r>
        <w:rPr>
          <w:sz w:val="22"/>
          <w:szCs w:val="22"/>
        </w:rPr>
        <w:t>At March 2023, median rents for all dwellings</w:t>
      </w:r>
      <w:r w:rsidR="00E95BE1">
        <w:rPr>
          <w:sz w:val="22"/>
          <w:szCs w:val="22"/>
        </w:rPr>
        <w:t xml:space="preserve"> (and all bedrooms)</w:t>
      </w:r>
      <w:r>
        <w:rPr>
          <w:sz w:val="22"/>
          <w:szCs w:val="22"/>
        </w:rPr>
        <w:t xml:space="preserve"> in the region ranged from </w:t>
      </w:r>
      <w:r w:rsidR="00E95BE1">
        <w:rPr>
          <w:sz w:val="22"/>
          <w:szCs w:val="22"/>
        </w:rPr>
        <w:t xml:space="preserve">$330 per week in Hilltops to $650 per week in </w:t>
      </w:r>
      <w:proofErr w:type="spellStart"/>
      <w:r w:rsidR="00E95BE1">
        <w:rPr>
          <w:sz w:val="22"/>
          <w:szCs w:val="22"/>
        </w:rPr>
        <w:t>Wingecarribee</w:t>
      </w:r>
      <w:proofErr w:type="spellEnd"/>
      <w:r w:rsidR="00E95BE1">
        <w:rPr>
          <w:sz w:val="22"/>
          <w:szCs w:val="22"/>
        </w:rPr>
        <w:t xml:space="preserve">. </w:t>
      </w:r>
    </w:p>
    <w:p w14:paraId="521C634E" w14:textId="77777777" w:rsidR="009648C5" w:rsidRPr="00E0399B" w:rsidRDefault="007F50E8" w:rsidP="00E836BF">
      <w:pPr>
        <w:pStyle w:val="ListParagraph"/>
        <w:spacing w:before="0" w:after="0"/>
        <w:ind w:left="360"/>
        <w:jc w:val="both"/>
        <w:rPr>
          <w:sz w:val="22"/>
          <w:szCs w:val="22"/>
        </w:rPr>
      </w:pPr>
      <w:r w:rsidRPr="00E0399B">
        <w:rPr>
          <w:sz w:val="22"/>
          <w:szCs w:val="22"/>
        </w:rPr>
        <w:t xml:space="preserve">  </w:t>
      </w:r>
    </w:p>
    <w:p w14:paraId="63A37874" w14:textId="77777777" w:rsidR="005B6274" w:rsidRPr="005B6274" w:rsidRDefault="005B6274" w:rsidP="005B6274">
      <w:pPr>
        <w:spacing w:before="0" w:after="0"/>
        <w:jc w:val="both"/>
        <w:rPr>
          <w:sz w:val="22"/>
          <w:szCs w:val="22"/>
        </w:rPr>
      </w:pPr>
    </w:p>
    <w:p w14:paraId="1150F6D3" w14:textId="77777777" w:rsidR="00E1656E" w:rsidRPr="001C58F3" w:rsidRDefault="00E1656E" w:rsidP="00E1656E">
      <w:pPr>
        <w:jc w:val="both"/>
        <w:rPr>
          <w:b/>
          <w:color w:val="008000"/>
          <w:sz w:val="32"/>
        </w:rPr>
      </w:pPr>
      <w:r>
        <w:rPr>
          <w:b/>
          <w:color w:val="008000"/>
          <w:sz w:val="32"/>
        </w:rPr>
        <w:t>Vacancy Rate</w:t>
      </w:r>
    </w:p>
    <w:p w14:paraId="6A19B9B7" w14:textId="77777777" w:rsidR="00516284" w:rsidRDefault="00516284" w:rsidP="00516284">
      <w:pPr>
        <w:numPr>
          <w:ilvl w:val="0"/>
          <w:numId w:val="2"/>
        </w:numPr>
        <w:spacing w:before="0" w:after="0"/>
        <w:jc w:val="both"/>
        <w:rPr>
          <w:sz w:val="22"/>
          <w:szCs w:val="22"/>
        </w:rPr>
      </w:pPr>
      <w:r w:rsidRPr="00381070">
        <w:rPr>
          <w:sz w:val="22"/>
          <w:szCs w:val="22"/>
        </w:rPr>
        <w:t xml:space="preserve">A vacancy rate of 3% is understood to represent a balance between supply and demand in the rental market. </w:t>
      </w:r>
      <w:r>
        <w:rPr>
          <w:sz w:val="22"/>
          <w:szCs w:val="22"/>
        </w:rPr>
        <w:t>Vacancy rates below 3% represent a tight rental market while longer term vacancy rates below 2% represent a chronic undersupply of rental housing.</w:t>
      </w:r>
    </w:p>
    <w:p w14:paraId="77F6A31A" w14:textId="486632C7" w:rsidR="00516284" w:rsidRPr="003D1D0D" w:rsidRDefault="00516284" w:rsidP="00516284">
      <w:pPr>
        <w:numPr>
          <w:ilvl w:val="0"/>
          <w:numId w:val="2"/>
        </w:numPr>
        <w:spacing w:before="0" w:after="0"/>
        <w:jc w:val="both"/>
        <w:rPr>
          <w:sz w:val="22"/>
          <w:szCs w:val="22"/>
        </w:rPr>
      </w:pPr>
      <w:r w:rsidRPr="009042B3">
        <w:rPr>
          <w:sz w:val="22"/>
          <w:szCs w:val="22"/>
        </w:rPr>
        <w:t>According to REINSW data, vacancy rates</w:t>
      </w:r>
      <w:r>
        <w:rPr>
          <w:sz w:val="22"/>
          <w:szCs w:val="22"/>
        </w:rPr>
        <w:t xml:space="preserve"> </w:t>
      </w:r>
      <w:r w:rsidR="00A20688">
        <w:rPr>
          <w:sz w:val="22"/>
          <w:szCs w:val="22"/>
        </w:rPr>
        <w:t xml:space="preserve">in this region </w:t>
      </w:r>
      <w:r>
        <w:rPr>
          <w:sz w:val="22"/>
          <w:szCs w:val="22"/>
        </w:rPr>
        <w:t>have shown periods of both over and undersupply, but since April 2020 have been</w:t>
      </w:r>
      <w:r w:rsidR="006B5DB0">
        <w:rPr>
          <w:sz w:val="22"/>
          <w:szCs w:val="22"/>
        </w:rPr>
        <w:t xml:space="preserve"> mostly</w:t>
      </w:r>
      <w:r>
        <w:rPr>
          <w:sz w:val="22"/>
          <w:szCs w:val="22"/>
        </w:rPr>
        <w:t xml:space="preserve"> below 3% in both the South Coast a</w:t>
      </w:r>
      <w:r w:rsidR="006B5DB0">
        <w:rPr>
          <w:sz w:val="22"/>
          <w:szCs w:val="22"/>
        </w:rPr>
        <w:t>nd South Eastern regions of NSW</w:t>
      </w:r>
      <w:r w:rsidR="00B4309C">
        <w:rPr>
          <w:sz w:val="22"/>
          <w:szCs w:val="22"/>
        </w:rPr>
        <w:t>.  This indicates a</w:t>
      </w:r>
      <w:r w:rsidR="007D5C3E">
        <w:rPr>
          <w:sz w:val="22"/>
          <w:szCs w:val="22"/>
        </w:rPr>
        <w:t xml:space="preserve"> </w:t>
      </w:r>
      <w:r>
        <w:rPr>
          <w:sz w:val="22"/>
          <w:szCs w:val="22"/>
        </w:rPr>
        <w:t xml:space="preserve">tight </w:t>
      </w:r>
      <w:r>
        <w:rPr>
          <w:sz w:val="22"/>
          <w:szCs w:val="22"/>
        </w:rPr>
        <w:lastRenderedPageBreak/>
        <w:t>rental market in both areas.</w:t>
      </w:r>
      <w:r w:rsidR="002340A8">
        <w:rPr>
          <w:sz w:val="22"/>
          <w:szCs w:val="22"/>
        </w:rPr>
        <w:t xml:space="preserve">  However, generally there is strong seasonal variation in vacancy rates in both regions, with increases in tourists in both coastal and mountain areas </w:t>
      </w:r>
      <w:r w:rsidR="000F31F2">
        <w:rPr>
          <w:sz w:val="22"/>
          <w:szCs w:val="22"/>
        </w:rPr>
        <w:t>in different seasons</w:t>
      </w:r>
      <w:r w:rsidR="002340A8">
        <w:rPr>
          <w:sz w:val="22"/>
          <w:szCs w:val="22"/>
        </w:rPr>
        <w:t xml:space="preserve">. </w:t>
      </w:r>
    </w:p>
    <w:p w14:paraId="4BDC25CA" w14:textId="77777777" w:rsidR="00516284" w:rsidRDefault="00516284" w:rsidP="00516284">
      <w:pPr>
        <w:numPr>
          <w:ilvl w:val="0"/>
          <w:numId w:val="2"/>
        </w:numPr>
        <w:spacing w:before="0" w:after="0"/>
        <w:rPr>
          <w:sz w:val="22"/>
          <w:szCs w:val="22"/>
        </w:rPr>
      </w:pPr>
      <w:r w:rsidRPr="0050388E">
        <w:rPr>
          <w:sz w:val="22"/>
          <w:szCs w:val="22"/>
        </w:rPr>
        <w:t xml:space="preserve">According to Real Estate Institute of NSW (REINSW) data, the vacancy rate in </w:t>
      </w:r>
      <w:r>
        <w:rPr>
          <w:sz w:val="22"/>
          <w:szCs w:val="22"/>
        </w:rPr>
        <w:t xml:space="preserve">South Coast at </w:t>
      </w:r>
      <w:r w:rsidR="00B4309C">
        <w:rPr>
          <w:sz w:val="22"/>
          <w:szCs w:val="22"/>
        </w:rPr>
        <w:t>April</w:t>
      </w:r>
      <w:r>
        <w:rPr>
          <w:sz w:val="22"/>
          <w:szCs w:val="22"/>
        </w:rPr>
        <w:t xml:space="preserve"> 2023 is </w:t>
      </w:r>
      <w:r w:rsidR="00AC6C5D">
        <w:rPr>
          <w:sz w:val="22"/>
          <w:szCs w:val="22"/>
        </w:rPr>
        <w:t>2.1</w:t>
      </w:r>
      <w:r>
        <w:rPr>
          <w:sz w:val="22"/>
          <w:szCs w:val="22"/>
        </w:rPr>
        <w:t xml:space="preserve">% while for South Eastern NSW is </w:t>
      </w:r>
      <w:r w:rsidR="00AC6C5D">
        <w:rPr>
          <w:sz w:val="22"/>
          <w:szCs w:val="22"/>
        </w:rPr>
        <w:t>3.6</w:t>
      </w:r>
      <w:r>
        <w:rPr>
          <w:sz w:val="22"/>
          <w:szCs w:val="22"/>
        </w:rPr>
        <w:t>%</w:t>
      </w:r>
      <w:r w:rsidR="00AC6C5D">
        <w:rPr>
          <w:sz w:val="22"/>
          <w:szCs w:val="22"/>
        </w:rPr>
        <w:t xml:space="preserve"> (up from 1.7% in January) - the only region in NSW with a vacancy rate above 3%</w:t>
      </w:r>
      <w:r>
        <w:rPr>
          <w:sz w:val="22"/>
          <w:szCs w:val="22"/>
        </w:rPr>
        <w:t>.</w:t>
      </w:r>
      <w:r w:rsidR="00AC6C5D">
        <w:rPr>
          <w:sz w:val="22"/>
          <w:szCs w:val="22"/>
        </w:rPr>
        <w:t xml:space="preserve">  Note that the REINSW attribute this to fluctuation due to seasonal variation.</w:t>
      </w:r>
    </w:p>
    <w:p w14:paraId="57A28E46" w14:textId="2E7BD233" w:rsidR="00516284" w:rsidRDefault="00516284" w:rsidP="00516284">
      <w:pPr>
        <w:numPr>
          <w:ilvl w:val="0"/>
          <w:numId w:val="2"/>
        </w:numPr>
        <w:spacing w:before="0" w:after="0"/>
        <w:rPr>
          <w:sz w:val="22"/>
          <w:szCs w:val="22"/>
        </w:rPr>
      </w:pPr>
      <w:r>
        <w:rPr>
          <w:sz w:val="22"/>
          <w:szCs w:val="22"/>
        </w:rPr>
        <w:t>Anecdotally there are reports of the difficulties tenants are experiencing finding and retaining rental accommodation – strong competition for properties, rent bidding and significant increases in rents, tenants paying too much of their income in rent, facing eviction and potential homelessness.</w:t>
      </w:r>
    </w:p>
    <w:p w14:paraId="1238EFBF" w14:textId="77777777" w:rsidR="007D5C3E" w:rsidRPr="00D56536" w:rsidRDefault="007D5C3E" w:rsidP="00516284">
      <w:pPr>
        <w:numPr>
          <w:ilvl w:val="0"/>
          <w:numId w:val="2"/>
        </w:numPr>
        <w:spacing w:before="0" w:after="0"/>
        <w:rPr>
          <w:sz w:val="22"/>
          <w:szCs w:val="22"/>
        </w:rPr>
      </w:pPr>
      <w:r>
        <w:rPr>
          <w:sz w:val="22"/>
          <w:szCs w:val="22"/>
        </w:rPr>
        <w:t>The graph below shows the long term vacancy rate for the South Coast and South Eastern NSW, using REINSW data.</w:t>
      </w:r>
    </w:p>
    <w:p w14:paraId="42416F71" w14:textId="77777777" w:rsidR="00C34CF1" w:rsidRPr="00B938EF" w:rsidRDefault="003B1E26" w:rsidP="00C34CF1">
      <w:pPr>
        <w:spacing w:after="0"/>
        <w:jc w:val="both"/>
        <w:rPr>
          <w:sz w:val="20"/>
          <w:szCs w:val="20"/>
        </w:rPr>
      </w:pPr>
      <w:r>
        <w:rPr>
          <w:noProof/>
          <w:sz w:val="20"/>
          <w:szCs w:val="20"/>
        </w:rPr>
        <w:drawing>
          <wp:inline distT="0" distB="0" distL="0" distR="0" wp14:anchorId="478C7A30" wp14:editId="73386DFC">
            <wp:extent cx="6034693" cy="3399342"/>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022" cy="3403470"/>
                    </a:xfrm>
                    <a:prstGeom prst="rect">
                      <a:avLst/>
                    </a:prstGeom>
                    <a:noFill/>
                  </pic:spPr>
                </pic:pic>
              </a:graphicData>
            </a:graphic>
          </wp:inline>
        </w:drawing>
      </w:r>
    </w:p>
    <w:p w14:paraId="06208A36" w14:textId="77777777" w:rsidR="00EB47AC" w:rsidRPr="00B938EF" w:rsidRDefault="00EB47AC" w:rsidP="00E1656E">
      <w:pPr>
        <w:jc w:val="both"/>
        <w:rPr>
          <w:b/>
          <w:color w:val="008000"/>
          <w:sz w:val="32"/>
        </w:rPr>
      </w:pPr>
    </w:p>
    <w:p w14:paraId="2962E9CC" w14:textId="77777777" w:rsidR="00E1656E" w:rsidRPr="00CD167A" w:rsidRDefault="00E1656E" w:rsidP="00E1656E">
      <w:pPr>
        <w:jc w:val="both"/>
        <w:rPr>
          <w:b/>
          <w:color w:val="008000"/>
          <w:sz w:val="32"/>
        </w:rPr>
      </w:pPr>
      <w:r w:rsidRPr="00B938EF">
        <w:rPr>
          <w:b/>
          <w:color w:val="008000"/>
          <w:sz w:val="32"/>
        </w:rPr>
        <w:t>Affordable Rental</w:t>
      </w:r>
    </w:p>
    <w:p w14:paraId="52B00915" w14:textId="1FB683D7" w:rsidR="00E1656E" w:rsidRDefault="00E1656E" w:rsidP="00BE1D4B">
      <w:pPr>
        <w:numPr>
          <w:ilvl w:val="0"/>
          <w:numId w:val="3"/>
        </w:numPr>
        <w:spacing w:before="0" w:after="0"/>
        <w:jc w:val="both"/>
        <w:rPr>
          <w:sz w:val="22"/>
          <w:szCs w:val="22"/>
        </w:rPr>
      </w:pPr>
      <w:r w:rsidRPr="0023651B">
        <w:rPr>
          <w:sz w:val="22"/>
          <w:szCs w:val="22"/>
        </w:rPr>
        <w:t>The general trend across</w:t>
      </w:r>
      <w:r w:rsidRPr="00EC3534">
        <w:rPr>
          <w:sz w:val="22"/>
          <w:szCs w:val="22"/>
        </w:rPr>
        <w:t xml:space="preserve"> Sydney and NSW has been for a decline in the proportion of rental stock which is affordable for very low</w:t>
      </w:r>
      <w:r w:rsidR="00E20532">
        <w:rPr>
          <w:sz w:val="22"/>
          <w:szCs w:val="22"/>
        </w:rPr>
        <w:t xml:space="preserve"> and low</w:t>
      </w:r>
      <w:r w:rsidR="0023651B">
        <w:rPr>
          <w:sz w:val="22"/>
          <w:szCs w:val="22"/>
        </w:rPr>
        <w:t xml:space="preserve"> income earners. </w:t>
      </w:r>
      <w:r w:rsidRPr="00EC3534">
        <w:rPr>
          <w:sz w:val="22"/>
          <w:szCs w:val="22"/>
        </w:rPr>
        <w:t xml:space="preserve"> </w:t>
      </w:r>
    </w:p>
    <w:p w14:paraId="46593987" w14:textId="77777777" w:rsidR="00505E8C" w:rsidRDefault="00505E8C" w:rsidP="00BE1D4B">
      <w:pPr>
        <w:numPr>
          <w:ilvl w:val="0"/>
          <w:numId w:val="3"/>
        </w:numPr>
        <w:spacing w:before="0" w:after="0"/>
        <w:jc w:val="both"/>
        <w:rPr>
          <w:sz w:val="22"/>
          <w:szCs w:val="22"/>
        </w:rPr>
      </w:pPr>
      <w:r>
        <w:rPr>
          <w:sz w:val="22"/>
          <w:szCs w:val="22"/>
        </w:rPr>
        <w:t>This has been the trend also in South and East Tablelands, although along w</w:t>
      </w:r>
      <w:r w:rsidR="00523B1F">
        <w:rPr>
          <w:sz w:val="22"/>
          <w:szCs w:val="22"/>
        </w:rPr>
        <w:t>ith elsewhere in NSW, there were more complex factors at play between 2019 and 2022.</w:t>
      </w:r>
    </w:p>
    <w:p w14:paraId="6800D425" w14:textId="77777777" w:rsidR="001610A2" w:rsidRDefault="001610A2" w:rsidP="00BE1D4B">
      <w:pPr>
        <w:numPr>
          <w:ilvl w:val="0"/>
          <w:numId w:val="3"/>
        </w:numPr>
        <w:spacing w:before="0" w:after="0"/>
        <w:jc w:val="both"/>
        <w:rPr>
          <w:sz w:val="22"/>
          <w:szCs w:val="22"/>
        </w:rPr>
      </w:pPr>
      <w:r>
        <w:rPr>
          <w:sz w:val="22"/>
          <w:szCs w:val="22"/>
        </w:rPr>
        <w:t xml:space="preserve">Across the Rest of NSW, the proportion of affordable rental for very low income households stayed at </w:t>
      </w:r>
      <w:r w:rsidR="002C4BE4">
        <w:rPr>
          <w:sz w:val="22"/>
          <w:szCs w:val="22"/>
        </w:rPr>
        <w:t xml:space="preserve">the 2018 level of </w:t>
      </w:r>
      <w:r>
        <w:rPr>
          <w:sz w:val="22"/>
          <w:szCs w:val="22"/>
        </w:rPr>
        <w:t>22.0% for 2</w:t>
      </w:r>
      <w:r w:rsidR="002C4BE4">
        <w:rPr>
          <w:sz w:val="22"/>
          <w:szCs w:val="22"/>
        </w:rPr>
        <w:t>019, improved slightly to 21.7% in 2020 and again to 21.9% in 2021 then declined in line with the longer term trend to 17.0% in 2022.</w:t>
      </w:r>
    </w:p>
    <w:p w14:paraId="02D7830F" w14:textId="77777777" w:rsidR="002C4BE4" w:rsidRDefault="002C4BE4" w:rsidP="00BE1D4B">
      <w:pPr>
        <w:numPr>
          <w:ilvl w:val="0"/>
          <w:numId w:val="3"/>
        </w:numPr>
        <w:spacing w:before="0" w:after="0"/>
        <w:jc w:val="both"/>
        <w:rPr>
          <w:sz w:val="22"/>
          <w:szCs w:val="22"/>
        </w:rPr>
      </w:pPr>
      <w:r>
        <w:rPr>
          <w:sz w:val="22"/>
          <w:szCs w:val="22"/>
        </w:rPr>
        <w:lastRenderedPageBreak/>
        <w:t xml:space="preserve">In South and East Tablelands, this pattern was more varied.  Between 2018 and 2019 rental affordability for very low income households improved in Eurobodalla, Hilltops and Queanbeyan </w:t>
      </w:r>
      <w:proofErr w:type="spellStart"/>
      <w:r>
        <w:rPr>
          <w:sz w:val="22"/>
          <w:szCs w:val="22"/>
        </w:rPr>
        <w:t>Palerang</w:t>
      </w:r>
      <w:proofErr w:type="spellEnd"/>
      <w:r>
        <w:rPr>
          <w:sz w:val="22"/>
          <w:szCs w:val="22"/>
        </w:rPr>
        <w:t xml:space="preserve"> and declined in all other LGAs in the region.</w:t>
      </w:r>
    </w:p>
    <w:p w14:paraId="20CB9458" w14:textId="77777777" w:rsidR="002C4BE4" w:rsidRDefault="002C4BE4" w:rsidP="00BE1D4B">
      <w:pPr>
        <w:numPr>
          <w:ilvl w:val="0"/>
          <w:numId w:val="3"/>
        </w:numPr>
        <w:spacing w:before="0" w:after="0"/>
        <w:jc w:val="both"/>
        <w:rPr>
          <w:sz w:val="22"/>
          <w:szCs w:val="22"/>
        </w:rPr>
      </w:pPr>
      <w:r>
        <w:rPr>
          <w:sz w:val="22"/>
          <w:szCs w:val="22"/>
        </w:rPr>
        <w:t xml:space="preserve">Between 2019 and 2020 the proportion affordable for rental by very low income households declined in every LGA with the exception of </w:t>
      </w:r>
      <w:proofErr w:type="spellStart"/>
      <w:r>
        <w:rPr>
          <w:sz w:val="22"/>
          <w:szCs w:val="22"/>
        </w:rPr>
        <w:t>Wingecarribee</w:t>
      </w:r>
      <w:proofErr w:type="spellEnd"/>
      <w:r>
        <w:rPr>
          <w:sz w:val="22"/>
          <w:szCs w:val="22"/>
        </w:rPr>
        <w:t>.</w:t>
      </w:r>
    </w:p>
    <w:p w14:paraId="3D06A8CC" w14:textId="77777777" w:rsidR="002C4BE4" w:rsidRDefault="002C4BE4" w:rsidP="00BE1D4B">
      <w:pPr>
        <w:numPr>
          <w:ilvl w:val="0"/>
          <w:numId w:val="3"/>
        </w:numPr>
        <w:spacing w:before="0" w:after="0"/>
        <w:jc w:val="both"/>
        <w:rPr>
          <w:sz w:val="22"/>
          <w:szCs w:val="22"/>
        </w:rPr>
      </w:pPr>
      <w:r>
        <w:rPr>
          <w:sz w:val="22"/>
          <w:szCs w:val="22"/>
        </w:rPr>
        <w:t xml:space="preserve">Between 2020 and 2021 </w:t>
      </w:r>
      <w:r w:rsidR="00C343DA">
        <w:rPr>
          <w:sz w:val="22"/>
          <w:szCs w:val="22"/>
        </w:rPr>
        <w:t xml:space="preserve">rental affordability improved in Bega Valley, Goulburn </w:t>
      </w:r>
      <w:proofErr w:type="spellStart"/>
      <w:r w:rsidR="00C343DA">
        <w:rPr>
          <w:sz w:val="22"/>
          <w:szCs w:val="22"/>
        </w:rPr>
        <w:t>Mulwaree</w:t>
      </w:r>
      <w:proofErr w:type="spellEnd"/>
      <w:r w:rsidR="00C343DA">
        <w:rPr>
          <w:sz w:val="22"/>
          <w:szCs w:val="22"/>
        </w:rPr>
        <w:t>, Hilltops and Yass Valley and declined everywhere else.</w:t>
      </w:r>
    </w:p>
    <w:p w14:paraId="438666C3" w14:textId="77777777" w:rsidR="00523B1F" w:rsidRPr="00C343DA" w:rsidRDefault="00C343DA" w:rsidP="001E237F">
      <w:pPr>
        <w:numPr>
          <w:ilvl w:val="0"/>
          <w:numId w:val="3"/>
        </w:numPr>
        <w:spacing w:before="0" w:after="0"/>
        <w:jc w:val="both"/>
        <w:rPr>
          <w:sz w:val="22"/>
          <w:szCs w:val="22"/>
        </w:rPr>
      </w:pPr>
      <w:r w:rsidRPr="00C343DA">
        <w:rPr>
          <w:sz w:val="22"/>
          <w:szCs w:val="22"/>
        </w:rPr>
        <w:t>Between 2021 and 2022 rental affordability for very low income households declined in every South and East Tablelands LGA in line with the trend in the Rest of NSW.</w:t>
      </w:r>
    </w:p>
    <w:p w14:paraId="162119B7" w14:textId="77777777" w:rsidR="00D850F0" w:rsidRDefault="00D850F0" w:rsidP="00BE1D4B">
      <w:pPr>
        <w:numPr>
          <w:ilvl w:val="0"/>
          <w:numId w:val="3"/>
        </w:numPr>
        <w:spacing w:before="0" w:after="0"/>
        <w:jc w:val="both"/>
        <w:rPr>
          <w:sz w:val="22"/>
          <w:szCs w:val="22"/>
        </w:rPr>
      </w:pPr>
      <w:r>
        <w:rPr>
          <w:sz w:val="22"/>
          <w:szCs w:val="22"/>
        </w:rPr>
        <w:t>At</w:t>
      </w:r>
      <w:r w:rsidR="00C343DA">
        <w:rPr>
          <w:sz w:val="22"/>
          <w:szCs w:val="22"/>
        </w:rPr>
        <w:t xml:space="preserve"> June 2022</w:t>
      </w:r>
      <w:r>
        <w:rPr>
          <w:sz w:val="22"/>
          <w:szCs w:val="22"/>
        </w:rPr>
        <w:t xml:space="preserve">, every </w:t>
      </w:r>
      <w:r w:rsidR="00B10019">
        <w:rPr>
          <w:sz w:val="22"/>
          <w:szCs w:val="22"/>
        </w:rPr>
        <w:t xml:space="preserve">South and East Tablelands </w:t>
      </w:r>
      <w:r>
        <w:rPr>
          <w:sz w:val="22"/>
          <w:szCs w:val="22"/>
        </w:rPr>
        <w:t>LGA</w:t>
      </w:r>
      <w:r w:rsidR="0023651B">
        <w:rPr>
          <w:sz w:val="22"/>
          <w:szCs w:val="22"/>
        </w:rPr>
        <w:t xml:space="preserve"> (excepting</w:t>
      </w:r>
      <w:r w:rsidR="00B10019">
        <w:rPr>
          <w:sz w:val="22"/>
          <w:szCs w:val="22"/>
        </w:rPr>
        <w:t xml:space="preserve"> for Hilltops</w:t>
      </w:r>
      <w:r w:rsidR="0023651B">
        <w:rPr>
          <w:sz w:val="22"/>
          <w:szCs w:val="22"/>
        </w:rPr>
        <w:t>)</w:t>
      </w:r>
      <w:r>
        <w:rPr>
          <w:sz w:val="22"/>
          <w:szCs w:val="22"/>
        </w:rPr>
        <w:t xml:space="preserve">, had a lower proportion of affordable rental for very low income households than </w:t>
      </w:r>
      <w:r w:rsidR="00C343DA">
        <w:rPr>
          <w:sz w:val="22"/>
          <w:szCs w:val="22"/>
        </w:rPr>
        <w:t>the Rest of NSW average of 17.0%</w:t>
      </w:r>
      <w:r w:rsidR="0023651B">
        <w:rPr>
          <w:sz w:val="22"/>
          <w:szCs w:val="22"/>
        </w:rPr>
        <w:t>.</w:t>
      </w:r>
      <w:r w:rsidR="00C343DA">
        <w:rPr>
          <w:sz w:val="22"/>
          <w:szCs w:val="22"/>
        </w:rPr>
        <w:t xml:space="preserve">  </w:t>
      </w:r>
      <w:proofErr w:type="spellStart"/>
      <w:r w:rsidR="00C343DA">
        <w:rPr>
          <w:sz w:val="22"/>
          <w:szCs w:val="22"/>
        </w:rPr>
        <w:t>Wingecarribee</w:t>
      </w:r>
      <w:proofErr w:type="spellEnd"/>
      <w:r w:rsidR="00C343DA">
        <w:rPr>
          <w:sz w:val="22"/>
          <w:szCs w:val="22"/>
        </w:rPr>
        <w:t xml:space="preserve"> had the lowest proportion with 2.8%, followed by Bega Valley with 7.8% and Queanbeyan </w:t>
      </w:r>
      <w:proofErr w:type="spellStart"/>
      <w:r w:rsidR="00C343DA">
        <w:rPr>
          <w:sz w:val="22"/>
          <w:szCs w:val="22"/>
        </w:rPr>
        <w:t>Palerang</w:t>
      </w:r>
      <w:proofErr w:type="spellEnd"/>
      <w:r w:rsidR="00C343DA">
        <w:rPr>
          <w:sz w:val="22"/>
          <w:szCs w:val="22"/>
        </w:rPr>
        <w:t xml:space="preserve"> with 8.0%.</w:t>
      </w:r>
    </w:p>
    <w:p w14:paraId="0EE430EA" w14:textId="6C240CF7" w:rsidR="00D850F0" w:rsidRPr="003020E4" w:rsidRDefault="00D850F0" w:rsidP="00D24ABD">
      <w:pPr>
        <w:numPr>
          <w:ilvl w:val="0"/>
          <w:numId w:val="3"/>
        </w:numPr>
        <w:spacing w:before="0" w:after="0"/>
        <w:jc w:val="both"/>
        <w:rPr>
          <w:sz w:val="22"/>
          <w:szCs w:val="22"/>
        </w:rPr>
      </w:pPr>
      <w:r w:rsidRPr="003020E4">
        <w:rPr>
          <w:sz w:val="22"/>
          <w:szCs w:val="22"/>
        </w:rPr>
        <w:t xml:space="preserve">The </w:t>
      </w:r>
      <w:r w:rsidR="003020E4" w:rsidRPr="003020E4">
        <w:rPr>
          <w:sz w:val="22"/>
          <w:szCs w:val="22"/>
        </w:rPr>
        <w:t xml:space="preserve">table and </w:t>
      </w:r>
      <w:r w:rsidRPr="003020E4">
        <w:rPr>
          <w:sz w:val="22"/>
          <w:szCs w:val="22"/>
        </w:rPr>
        <w:t xml:space="preserve">graph below show the change in the proportion of private rental accommodation affordable to </w:t>
      </w:r>
      <w:r w:rsidRPr="003020E4">
        <w:rPr>
          <w:b/>
          <w:sz w:val="22"/>
          <w:szCs w:val="22"/>
        </w:rPr>
        <w:t>very low income</w:t>
      </w:r>
      <w:r w:rsidRPr="003020E4">
        <w:rPr>
          <w:sz w:val="22"/>
          <w:szCs w:val="22"/>
        </w:rPr>
        <w:t xml:space="preserve"> households in the </w:t>
      </w:r>
      <w:r w:rsidR="005B1497" w:rsidRPr="003020E4">
        <w:rPr>
          <w:sz w:val="22"/>
          <w:szCs w:val="22"/>
        </w:rPr>
        <w:t xml:space="preserve">South and East Tablelands </w:t>
      </w:r>
      <w:r w:rsidRPr="003020E4">
        <w:rPr>
          <w:sz w:val="22"/>
          <w:szCs w:val="22"/>
        </w:rPr>
        <w:t>and Rest of NSW between 201</w:t>
      </w:r>
      <w:r w:rsidR="008A4136">
        <w:rPr>
          <w:sz w:val="22"/>
          <w:szCs w:val="22"/>
        </w:rPr>
        <w:t>7</w:t>
      </w:r>
      <w:r w:rsidRPr="003020E4">
        <w:rPr>
          <w:sz w:val="22"/>
          <w:szCs w:val="22"/>
        </w:rPr>
        <w:t xml:space="preserve"> and 20</w:t>
      </w:r>
      <w:r w:rsidR="003020E4" w:rsidRPr="003020E4">
        <w:rPr>
          <w:sz w:val="22"/>
          <w:szCs w:val="22"/>
        </w:rPr>
        <w:t>22</w:t>
      </w:r>
      <w:r w:rsidR="00E05BD1" w:rsidRPr="003020E4">
        <w:rPr>
          <w:sz w:val="22"/>
          <w:szCs w:val="22"/>
        </w:rPr>
        <w:t>.</w:t>
      </w:r>
      <w:r w:rsidRPr="003020E4">
        <w:rPr>
          <w:sz w:val="22"/>
          <w:szCs w:val="22"/>
        </w:rPr>
        <w:t xml:space="preserve">  </w:t>
      </w:r>
    </w:p>
    <w:p w14:paraId="0B0BAC25" w14:textId="77777777" w:rsidR="00FF54BD" w:rsidRDefault="00FF54BD" w:rsidP="00500AF2">
      <w:pPr>
        <w:spacing w:before="0" w:after="0"/>
        <w:jc w:val="both"/>
        <w:rPr>
          <w:sz w:val="22"/>
          <w:szCs w:val="22"/>
        </w:rPr>
      </w:pPr>
    </w:p>
    <w:p w14:paraId="59D7C16F" w14:textId="5D7F190B" w:rsidR="005E1A2C" w:rsidRDefault="005E1A2C" w:rsidP="00500AF2">
      <w:pPr>
        <w:spacing w:before="0" w:after="0"/>
        <w:jc w:val="both"/>
        <w:rPr>
          <w:sz w:val="22"/>
          <w:szCs w:val="22"/>
        </w:rPr>
      </w:pPr>
      <w:r>
        <w:rPr>
          <w:sz w:val="22"/>
          <w:szCs w:val="22"/>
        </w:rPr>
        <w:t>Affordable rental for very low income households</w:t>
      </w:r>
      <w:r w:rsidR="00FE3EFF">
        <w:rPr>
          <w:sz w:val="22"/>
          <w:szCs w:val="22"/>
        </w:rPr>
        <w:t xml:space="preserve"> – June 201</w:t>
      </w:r>
      <w:r w:rsidR="008A4136">
        <w:rPr>
          <w:sz w:val="22"/>
          <w:szCs w:val="22"/>
        </w:rPr>
        <w:t>7</w:t>
      </w:r>
      <w:r w:rsidR="00FE3EFF">
        <w:rPr>
          <w:sz w:val="22"/>
          <w:szCs w:val="22"/>
        </w:rPr>
        <w:t xml:space="preserve"> to June 2022</w:t>
      </w:r>
    </w:p>
    <w:p w14:paraId="4524AFCB" w14:textId="21E9764D" w:rsidR="005E1A2C" w:rsidRPr="00EC7147" w:rsidRDefault="00056C3A" w:rsidP="00500AF2">
      <w:pPr>
        <w:spacing w:before="0" w:after="0"/>
        <w:jc w:val="both"/>
        <w:rPr>
          <w:iCs/>
          <w:sz w:val="22"/>
          <w:szCs w:val="22"/>
        </w:rPr>
      </w:pPr>
      <w:r w:rsidRPr="00056C3A">
        <w:rPr>
          <w:noProof/>
        </w:rPr>
        <w:drawing>
          <wp:inline distT="0" distB="0" distL="0" distR="0" wp14:anchorId="242CEAAC" wp14:editId="4E737D47">
            <wp:extent cx="4581525" cy="20232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3911" cy="2041957"/>
                    </a:xfrm>
                    <a:prstGeom prst="rect">
                      <a:avLst/>
                    </a:prstGeom>
                    <a:noFill/>
                    <a:ln>
                      <a:noFill/>
                    </a:ln>
                  </pic:spPr>
                </pic:pic>
              </a:graphicData>
            </a:graphic>
          </wp:inline>
        </w:drawing>
      </w:r>
    </w:p>
    <w:p w14:paraId="540BBBD4" w14:textId="22D24B40" w:rsidR="005E1A2C" w:rsidRPr="00EC3534" w:rsidRDefault="00EC7147" w:rsidP="00E1656E">
      <w:pPr>
        <w:jc w:val="both"/>
        <w:rPr>
          <w:sz w:val="22"/>
          <w:szCs w:val="22"/>
        </w:rPr>
      </w:pPr>
      <w:r>
        <w:rPr>
          <w:noProof/>
          <w:sz w:val="22"/>
          <w:szCs w:val="22"/>
        </w:rPr>
        <w:drawing>
          <wp:inline distT="0" distB="0" distL="0" distR="0" wp14:anchorId="0987605C" wp14:editId="79BD8973">
            <wp:extent cx="5653405" cy="2973779"/>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6" cy="2976120"/>
                    </a:xfrm>
                    <a:prstGeom prst="rect">
                      <a:avLst/>
                    </a:prstGeom>
                    <a:noFill/>
                  </pic:spPr>
                </pic:pic>
              </a:graphicData>
            </a:graphic>
          </wp:inline>
        </w:drawing>
      </w:r>
    </w:p>
    <w:p w14:paraId="6DE786A1" w14:textId="77777777" w:rsidR="006F0A72" w:rsidRDefault="00E05BD1" w:rsidP="00BE1D4B">
      <w:pPr>
        <w:numPr>
          <w:ilvl w:val="0"/>
          <w:numId w:val="8"/>
        </w:numPr>
        <w:spacing w:before="0" w:after="0"/>
        <w:jc w:val="both"/>
        <w:rPr>
          <w:sz w:val="22"/>
          <w:szCs w:val="22"/>
        </w:rPr>
      </w:pPr>
      <w:r w:rsidRPr="00EC3534">
        <w:rPr>
          <w:sz w:val="22"/>
          <w:szCs w:val="22"/>
        </w:rPr>
        <w:lastRenderedPageBreak/>
        <w:t xml:space="preserve">The proportion of rental affordable for </w:t>
      </w:r>
      <w:r w:rsidRPr="00EC3534">
        <w:rPr>
          <w:b/>
          <w:sz w:val="22"/>
          <w:szCs w:val="22"/>
        </w:rPr>
        <w:t>low income</w:t>
      </w:r>
      <w:r w:rsidRPr="00EC3534">
        <w:rPr>
          <w:sz w:val="22"/>
          <w:szCs w:val="22"/>
        </w:rPr>
        <w:t xml:space="preserve"> hou</w:t>
      </w:r>
      <w:r w:rsidR="0023651B">
        <w:rPr>
          <w:sz w:val="22"/>
          <w:szCs w:val="22"/>
        </w:rPr>
        <w:t>seholds has also declined in the region</w:t>
      </w:r>
      <w:r w:rsidR="006F0A72">
        <w:rPr>
          <w:sz w:val="22"/>
          <w:szCs w:val="22"/>
        </w:rPr>
        <w:t xml:space="preserve"> and the more recent trend for rental affordability is a little different from that for very low income households.</w:t>
      </w:r>
    </w:p>
    <w:p w14:paraId="6624CBFE" w14:textId="77777777" w:rsidR="006F0A72" w:rsidRDefault="006F0A72" w:rsidP="00BE1D4B">
      <w:pPr>
        <w:numPr>
          <w:ilvl w:val="0"/>
          <w:numId w:val="8"/>
        </w:numPr>
        <w:spacing w:before="0" w:after="0"/>
        <w:jc w:val="both"/>
        <w:rPr>
          <w:sz w:val="22"/>
          <w:szCs w:val="22"/>
        </w:rPr>
      </w:pPr>
      <w:r>
        <w:rPr>
          <w:sz w:val="22"/>
          <w:szCs w:val="22"/>
        </w:rPr>
        <w:t xml:space="preserve">Between 2018 and </w:t>
      </w:r>
      <w:r w:rsidR="00B31145">
        <w:rPr>
          <w:sz w:val="22"/>
          <w:szCs w:val="22"/>
        </w:rPr>
        <w:t>2020 the proportion of rental affordable for low income households increased gently from 54.1% to 55.2% and then declined again to 45.4%</w:t>
      </w:r>
      <w:r w:rsidR="00457244">
        <w:rPr>
          <w:sz w:val="22"/>
          <w:szCs w:val="22"/>
        </w:rPr>
        <w:t xml:space="preserve"> in June 2022</w:t>
      </w:r>
      <w:r w:rsidR="00B31145">
        <w:rPr>
          <w:sz w:val="22"/>
          <w:szCs w:val="22"/>
        </w:rPr>
        <w:t xml:space="preserve"> in the Rest of NSW.</w:t>
      </w:r>
    </w:p>
    <w:p w14:paraId="2CB2B2B4" w14:textId="77777777" w:rsidR="00B31145" w:rsidRDefault="00B31145" w:rsidP="00BE1D4B">
      <w:pPr>
        <w:numPr>
          <w:ilvl w:val="0"/>
          <w:numId w:val="8"/>
        </w:numPr>
        <w:spacing w:before="0" w:after="0"/>
        <w:jc w:val="both"/>
        <w:rPr>
          <w:sz w:val="22"/>
          <w:szCs w:val="22"/>
        </w:rPr>
      </w:pPr>
      <w:r>
        <w:rPr>
          <w:sz w:val="22"/>
          <w:szCs w:val="22"/>
        </w:rPr>
        <w:t>Most LGAs in South and East Tablelands experienced a continuous decline in the proportion of affordable rental</w:t>
      </w:r>
      <w:r w:rsidR="00457244">
        <w:rPr>
          <w:sz w:val="22"/>
          <w:szCs w:val="22"/>
        </w:rPr>
        <w:t xml:space="preserve"> over the same period</w:t>
      </w:r>
      <w:r>
        <w:rPr>
          <w:sz w:val="22"/>
          <w:szCs w:val="22"/>
        </w:rPr>
        <w:t xml:space="preserve">.  The exceptions were Bega Valley (increasing from 68.3% in 2018 to 71.4% in June 2019, declining rapidly to 47.4% in June 2022), Hilltops (increasing from 96.0% in 2018 to 96.7% in 2019, declining to 90.1% in 2022) and </w:t>
      </w:r>
      <w:proofErr w:type="spellStart"/>
      <w:r>
        <w:rPr>
          <w:sz w:val="22"/>
          <w:szCs w:val="22"/>
        </w:rPr>
        <w:t>Wingecarribee</w:t>
      </w:r>
      <w:proofErr w:type="spellEnd"/>
      <w:r>
        <w:rPr>
          <w:sz w:val="22"/>
          <w:szCs w:val="22"/>
        </w:rPr>
        <w:t xml:space="preserve"> (increasing from 18.5% in June 2020 to 18.</w:t>
      </w:r>
      <w:r w:rsidR="00457244">
        <w:rPr>
          <w:sz w:val="22"/>
          <w:szCs w:val="22"/>
        </w:rPr>
        <w:t>8</w:t>
      </w:r>
      <w:r>
        <w:rPr>
          <w:sz w:val="22"/>
          <w:szCs w:val="22"/>
        </w:rPr>
        <w:t xml:space="preserve">% in June 2021, declining to </w:t>
      </w:r>
      <w:r w:rsidR="00457244">
        <w:rPr>
          <w:sz w:val="22"/>
          <w:szCs w:val="22"/>
        </w:rPr>
        <w:t>14.9% in June 2022).</w:t>
      </w:r>
    </w:p>
    <w:p w14:paraId="5E7E7EA7" w14:textId="3965B91E" w:rsidR="00457244" w:rsidRDefault="00457244" w:rsidP="00BE1D4B">
      <w:pPr>
        <w:numPr>
          <w:ilvl w:val="0"/>
          <w:numId w:val="8"/>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the South and East Tablelands and Rest of NSW between 201</w:t>
      </w:r>
      <w:r w:rsidR="00245F5C">
        <w:rPr>
          <w:sz w:val="22"/>
          <w:szCs w:val="22"/>
        </w:rPr>
        <w:t>7</w:t>
      </w:r>
      <w:r w:rsidRPr="003020E4">
        <w:rPr>
          <w:sz w:val="22"/>
          <w:szCs w:val="22"/>
        </w:rPr>
        <w:t xml:space="preserve"> and 2022</w:t>
      </w:r>
      <w:r>
        <w:rPr>
          <w:sz w:val="22"/>
          <w:szCs w:val="22"/>
        </w:rPr>
        <w:t>.</w:t>
      </w:r>
    </w:p>
    <w:p w14:paraId="35CDAFA6" w14:textId="77777777" w:rsidR="00FE3EFF" w:rsidRDefault="00FE3EFF" w:rsidP="002F3E33">
      <w:pPr>
        <w:spacing w:before="0" w:after="0"/>
        <w:jc w:val="both"/>
        <w:rPr>
          <w:noProof/>
          <w:sz w:val="20"/>
          <w:szCs w:val="20"/>
        </w:rPr>
      </w:pPr>
    </w:p>
    <w:p w14:paraId="7FBF9F20" w14:textId="77777777" w:rsidR="00FE3EFF" w:rsidRDefault="00FE3EFF" w:rsidP="002F3E33">
      <w:pPr>
        <w:spacing w:before="0" w:after="0"/>
        <w:jc w:val="both"/>
        <w:rPr>
          <w:noProof/>
          <w:sz w:val="20"/>
          <w:szCs w:val="20"/>
        </w:rPr>
      </w:pPr>
      <w:r>
        <w:rPr>
          <w:noProof/>
          <w:sz w:val="20"/>
          <w:szCs w:val="20"/>
        </w:rPr>
        <w:t>Affordable rental for low income households – June 2001 to June 2022</w:t>
      </w:r>
    </w:p>
    <w:p w14:paraId="754894BE" w14:textId="30FC851C" w:rsidR="00FE3EFF" w:rsidRDefault="0013733B" w:rsidP="002F3E33">
      <w:pPr>
        <w:spacing w:before="0" w:after="0"/>
        <w:jc w:val="both"/>
        <w:rPr>
          <w:noProof/>
          <w:sz w:val="20"/>
          <w:szCs w:val="20"/>
        </w:rPr>
      </w:pPr>
      <w:r w:rsidRPr="0013733B">
        <w:rPr>
          <w:noProof/>
        </w:rPr>
        <w:drawing>
          <wp:inline distT="0" distB="0" distL="0" distR="0" wp14:anchorId="23AD64FE" wp14:editId="588909B1">
            <wp:extent cx="5207635" cy="229973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1241" cy="2301328"/>
                    </a:xfrm>
                    <a:prstGeom prst="rect">
                      <a:avLst/>
                    </a:prstGeom>
                    <a:noFill/>
                    <a:ln>
                      <a:noFill/>
                    </a:ln>
                  </pic:spPr>
                </pic:pic>
              </a:graphicData>
            </a:graphic>
          </wp:inline>
        </w:drawing>
      </w:r>
    </w:p>
    <w:p w14:paraId="7C7F429E" w14:textId="77777777" w:rsidR="00FE3EFF" w:rsidRDefault="00FE3EFF" w:rsidP="002F3E33">
      <w:pPr>
        <w:spacing w:before="0" w:after="0"/>
        <w:jc w:val="both"/>
        <w:rPr>
          <w:noProof/>
          <w:sz w:val="20"/>
          <w:szCs w:val="20"/>
        </w:rPr>
      </w:pPr>
    </w:p>
    <w:p w14:paraId="5A06197C" w14:textId="4FAFF21D" w:rsidR="00FE3EFF" w:rsidRDefault="0013733B" w:rsidP="002F3E33">
      <w:pPr>
        <w:spacing w:before="0" w:after="0"/>
        <w:jc w:val="both"/>
        <w:rPr>
          <w:noProof/>
          <w:sz w:val="20"/>
          <w:szCs w:val="20"/>
        </w:rPr>
      </w:pPr>
      <w:r>
        <w:rPr>
          <w:noProof/>
          <w:sz w:val="20"/>
          <w:szCs w:val="20"/>
        </w:rPr>
        <w:drawing>
          <wp:inline distT="0" distB="0" distL="0" distR="0" wp14:anchorId="182EC7FC" wp14:editId="022DCB86">
            <wp:extent cx="5543737" cy="2990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856" cy="3001165"/>
                    </a:xfrm>
                    <a:prstGeom prst="rect">
                      <a:avLst/>
                    </a:prstGeom>
                    <a:noFill/>
                  </pic:spPr>
                </pic:pic>
              </a:graphicData>
            </a:graphic>
          </wp:inline>
        </w:drawing>
      </w:r>
    </w:p>
    <w:p w14:paraId="1B28BEB1" w14:textId="77777777" w:rsidR="00F95B97" w:rsidRDefault="00F95B97" w:rsidP="00BE1D4B">
      <w:pPr>
        <w:numPr>
          <w:ilvl w:val="0"/>
          <w:numId w:val="8"/>
        </w:numPr>
        <w:spacing w:before="0" w:after="0"/>
        <w:rPr>
          <w:sz w:val="22"/>
          <w:szCs w:val="22"/>
        </w:rPr>
      </w:pPr>
      <w:r>
        <w:rPr>
          <w:sz w:val="22"/>
          <w:szCs w:val="22"/>
        </w:rPr>
        <w:lastRenderedPageBreak/>
        <w:t xml:space="preserve">At June 2022, </w:t>
      </w:r>
      <w:proofErr w:type="spellStart"/>
      <w:r>
        <w:rPr>
          <w:sz w:val="22"/>
          <w:szCs w:val="22"/>
        </w:rPr>
        <w:t>Wingecarribee</w:t>
      </w:r>
      <w:proofErr w:type="spellEnd"/>
      <w:r>
        <w:rPr>
          <w:sz w:val="22"/>
          <w:szCs w:val="22"/>
        </w:rPr>
        <w:t xml:space="preserve"> (14.9%), Yass Valley (26.9%), Snowy Monaro Regional (31.7%), Eurobodalla (38.3%) and Queanbeyan </w:t>
      </w:r>
      <w:proofErr w:type="spellStart"/>
      <w:r>
        <w:rPr>
          <w:sz w:val="22"/>
          <w:szCs w:val="22"/>
        </w:rPr>
        <w:t>Palerang</w:t>
      </w:r>
      <w:proofErr w:type="spellEnd"/>
      <w:r>
        <w:rPr>
          <w:sz w:val="22"/>
          <w:szCs w:val="22"/>
        </w:rPr>
        <w:t xml:space="preserve"> </w:t>
      </w:r>
      <w:r w:rsidR="00717F47">
        <w:rPr>
          <w:sz w:val="22"/>
          <w:szCs w:val="22"/>
        </w:rPr>
        <w:t>(38.4%) had a lower proportion of affordable rental for low income households than the Rest of NSW average of 45.4%</w:t>
      </w:r>
    </w:p>
    <w:p w14:paraId="0528446D" w14:textId="77777777" w:rsidR="00717F47" w:rsidRDefault="00D756D2" w:rsidP="002A2E14">
      <w:pPr>
        <w:numPr>
          <w:ilvl w:val="0"/>
          <w:numId w:val="8"/>
        </w:numPr>
        <w:spacing w:before="0" w:after="0"/>
        <w:rPr>
          <w:sz w:val="22"/>
          <w:szCs w:val="22"/>
        </w:rPr>
      </w:pPr>
      <w:r w:rsidRPr="00717F47">
        <w:rPr>
          <w:sz w:val="22"/>
          <w:szCs w:val="22"/>
        </w:rPr>
        <w:t xml:space="preserve">There is evidence that short term holiday rentals such as Airbnb are impacting the supply of housing, including long term rental and affordable housing in </w:t>
      </w:r>
      <w:r w:rsidR="00020699" w:rsidRPr="00717F47">
        <w:rPr>
          <w:sz w:val="22"/>
          <w:szCs w:val="22"/>
        </w:rPr>
        <w:t xml:space="preserve">and adjacent to </w:t>
      </w:r>
      <w:r w:rsidRPr="00717F47">
        <w:rPr>
          <w:sz w:val="22"/>
          <w:szCs w:val="22"/>
        </w:rPr>
        <w:t xml:space="preserve">cities and </w:t>
      </w:r>
      <w:r w:rsidR="00020699" w:rsidRPr="00717F47">
        <w:rPr>
          <w:sz w:val="22"/>
          <w:szCs w:val="22"/>
        </w:rPr>
        <w:t xml:space="preserve">in </w:t>
      </w:r>
      <w:r w:rsidRPr="00717F47">
        <w:rPr>
          <w:sz w:val="22"/>
          <w:szCs w:val="22"/>
        </w:rPr>
        <w:t xml:space="preserve">coastal communities.   </w:t>
      </w:r>
    </w:p>
    <w:p w14:paraId="74D5BEF2" w14:textId="77777777" w:rsidR="00D756D2" w:rsidRPr="00717F47" w:rsidRDefault="00D756D2" w:rsidP="002A2E14">
      <w:pPr>
        <w:numPr>
          <w:ilvl w:val="0"/>
          <w:numId w:val="8"/>
        </w:numPr>
        <w:spacing w:before="0" w:after="0"/>
        <w:rPr>
          <w:sz w:val="22"/>
          <w:szCs w:val="22"/>
        </w:rPr>
      </w:pPr>
      <w:r w:rsidRPr="00717F47">
        <w:rPr>
          <w:sz w:val="22"/>
          <w:szCs w:val="22"/>
        </w:rPr>
        <w:t xml:space="preserve">The University of Sydney Urban Housing Lab undertook a study and prepared a report for the Australian Coastal Councils on short term holiday rentals: “Planning responses to online short term holiday rental platforms” -  Research Project for Australian Coastal Councils Association Inc. September 2018  by Nicole </w:t>
      </w:r>
      <w:proofErr w:type="spellStart"/>
      <w:r w:rsidRPr="00717F47">
        <w:rPr>
          <w:sz w:val="22"/>
          <w:szCs w:val="22"/>
        </w:rPr>
        <w:t>Gurran</w:t>
      </w:r>
      <w:proofErr w:type="spellEnd"/>
      <w:r w:rsidRPr="00717F47">
        <w:rPr>
          <w:sz w:val="22"/>
          <w:szCs w:val="22"/>
        </w:rPr>
        <w:t xml:space="preserve">, </w:t>
      </w:r>
      <w:proofErr w:type="spellStart"/>
      <w:r w:rsidRPr="00717F47">
        <w:rPr>
          <w:sz w:val="22"/>
          <w:szCs w:val="22"/>
        </w:rPr>
        <w:t>Yuting</w:t>
      </w:r>
      <w:proofErr w:type="spellEnd"/>
      <w:r w:rsidRPr="00717F47">
        <w:rPr>
          <w:sz w:val="22"/>
          <w:szCs w:val="22"/>
        </w:rPr>
        <w:t xml:space="preserve"> Zhang, </w:t>
      </w:r>
      <w:proofErr w:type="spellStart"/>
      <w:r w:rsidRPr="00717F47">
        <w:rPr>
          <w:sz w:val="22"/>
          <w:szCs w:val="22"/>
        </w:rPr>
        <w:t>Pranita</w:t>
      </w:r>
      <w:proofErr w:type="spellEnd"/>
      <w:r w:rsidRPr="00717F47">
        <w:rPr>
          <w:sz w:val="22"/>
          <w:szCs w:val="22"/>
        </w:rPr>
        <w:t xml:space="preserve"> Shrestha, Catherine Gilbert.  </w:t>
      </w:r>
    </w:p>
    <w:p w14:paraId="470B3057" w14:textId="77777777" w:rsidR="00D756D2" w:rsidRDefault="00D756D2" w:rsidP="00BE1D4B">
      <w:pPr>
        <w:numPr>
          <w:ilvl w:val="0"/>
          <w:numId w:val="8"/>
        </w:numPr>
        <w:spacing w:before="0" w:after="0"/>
        <w:rPr>
          <w:sz w:val="22"/>
          <w:szCs w:val="22"/>
        </w:rPr>
      </w:pPr>
      <w:r w:rsidRPr="00D756D2">
        <w:rPr>
          <w:sz w:val="22"/>
          <w:szCs w:val="22"/>
        </w:rPr>
        <w:t xml:space="preserve">The study found (p7) “that there has been a rapid growth in online holiday rental listings overall and in coastal Australia in particular. Since Airbnb was launched in Australia, the number of listings has risen to over 130,000 properties, amounting to 3.5% of rental accommodation. In coastal communities, the rate is much higher. </w:t>
      </w:r>
    </w:p>
    <w:p w14:paraId="134A5F23" w14:textId="77777777" w:rsidR="00D756D2" w:rsidRDefault="00D756D2" w:rsidP="00BE1D4B">
      <w:pPr>
        <w:numPr>
          <w:ilvl w:val="0"/>
          <w:numId w:val="8"/>
        </w:numPr>
        <w:spacing w:before="0" w:after="0"/>
        <w:rPr>
          <w:sz w:val="22"/>
          <w:szCs w:val="22"/>
        </w:rPr>
      </w:pPr>
      <w:r w:rsidRPr="00D756D2">
        <w:rPr>
          <w:sz w:val="22"/>
          <w:szCs w:val="22"/>
        </w:rPr>
        <w:t>Further (p7) “the majority of these listings are whole houses, and more than half appear to be frequently available holiday lets rather than permanent residences.  Considered as part of the rental housing stock, these whole houses, frequently available, amount to 19.7% of the rental housing stock in Kiama…and 48.3% of the rental housing stock in Byron.</w:t>
      </w:r>
    </w:p>
    <w:p w14:paraId="273079EA" w14:textId="77777777" w:rsidR="001F71B5" w:rsidRPr="00D756D2" w:rsidRDefault="001F71B5" w:rsidP="00BE1D4B">
      <w:pPr>
        <w:numPr>
          <w:ilvl w:val="0"/>
          <w:numId w:val="8"/>
        </w:numPr>
        <w:spacing w:before="0" w:after="0"/>
        <w:rPr>
          <w:sz w:val="22"/>
          <w:szCs w:val="22"/>
        </w:rPr>
      </w:pPr>
      <w:r>
        <w:rPr>
          <w:sz w:val="22"/>
          <w:szCs w:val="22"/>
        </w:rPr>
        <w:t xml:space="preserve">The study also identified a new class of investor purchasing specifically to provide short term holiday rental accommodation.  This is impacting communities in a number of ways – by increasing competition for purchase, purchase prices are increasing as are rents.  This impacts both home purchasers and long term renters, with evidence of </w:t>
      </w:r>
      <w:r w:rsidR="0050608D">
        <w:rPr>
          <w:sz w:val="22"/>
          <w:szCs w:val="22"/>
        </w:rPr>
        <w:t xml:space="preserve">lower income renters </w:t>
      </w:r>
      <w:r>
        <w:rPr>
          <w:sz w:val="22"/>
          <w:szCs w:val="22"/>
        </w:rPr>
        <w:t>being priced out of some communities.</w:t>
      </w:r>
    </w:p>
    <w:p w14:paraId="09C1C254" w14:textId="77777777" w:rsidR="00D756D2" w:rsidRDefault="00D756D2" w:rsidP="00BE1D4B">
      <w:pPr>
        <w:numPr>
          <w:ilvl w:val="0"/>
          <w:numId w:val="8"/>
        </w:numPr>
        <w:spacing w:before="0" w:after="0"/>
        <w:rPr>
          <w:sz w:val="22"/>
          <w:szCs w:val="22"/>
        </w:rPr>
      </w:pPr>
      <w:r>
        <w:rPr>
          <w:sz w:val="22"/>
          <w:szCs w:val="22"/>
        </w:rPr>
        <w:t xml:space="preserve">Eurobodalla was one of the coastal councils included in the study.  The study found that (p62) “growing demand for holiday homes has exacerbated the </w:t>
      </w:r>
      <w:r w:rsidR="006F405B">
        <w:rPr>
          <w:sz w:val="22"/>
          <w:szCs w:val="22"/>
        </w:rPr>
        <w:t>shortage of affordable rental supply”</w:t>
      </w:r>
      <w:r w:rsidR="002F4710">
        <w:rPr>
          <w:sz w:val="22"/>
          <w:szCs w:val="22"/>
        </w:rPr>
        <w:t xml:space="preserve"> in Eurobodalla.</w:t>
      </w:r>
    </w:p>
    <w:p w14:paraId="6948CC75" w14:textId="77777777" w:rsidR="00020699" w:rsidRDefault="00020699" w:rsidP="00BE1D4B">
      <w:pPr>
        <w:numPr>
          <w:ilvl w:val="0"/>
          <w:numId w:val="8"/>
        </w:numPr>
        <w:spacing w:before="0" w:after="0"/>
        <w:rPr>
          <w:sz w:val="22"/>
          <w:szCs w:val="22"/>
        </w:rPr>
      </w:pPr>
      <w:r w:rsidRPr="002F4710">
        <w:rPr>
          <w:sz w:val="22"/>
          <w:szCs w:val="22"/>
        </w:rPr>
        <w:t xml:space="preserve">The study also identified impact to communities within a 3 hour radius of capital cities.  Parts of the South and East Tablelands Region fall into this category – with </w:t>
      </w:r>
      <w:proofErr w:type="spellStart"/>
      <w:r w:rsidRPr="002F4710">
        <w:rPr>
          <w:sz w:val="22"/>
          <w:szCs w:val="22"/>
        </w:rPr>
        <w:t>Wingecarribee</w:t>
      </w:r>
      <w:proofErr w:type="spellEnd"/>
      <w:r w:rsidRPr="002F4710">
        <w:rPr>
          <w:sz w:val="22"/>
          <w:szCs w:val="22"/>
        </w:rPr>
        <w:t xml:space="preserve"> adjacent to Sydney and Queanbeyan-</w:t>
      </w:r>
      <w:proofErr w:type="spellStart"/>
      <w:r w:rsidRPr="002F4710">
        <w:rPr>
          <w:sz w:val="22"/>
          <w:szCs w:val="22"/>
        </w:rPr>
        <w:t>Palerang</w:t>
      </w:r>
      <w:proofErr w:type="spellEnd"/>
      <w:r w:rsidRPr="002F4710">
        <w:rPr>
          <w:sz w:val="22"/>
          <w:szCs w:val="22"/>
        </w:rPr>
        <w:t xml:space="preserve"> and Yass Valley adjacent to Canberra. This report, in discussing the implications for local housing markets, noted that (p36) “Many, but not all, of the case study communities report that lower income residents and local workers face barriers in securing affordable rental housing or entering home ownership”</w:t>
      </w:r>
    </w:p>
    <w:p w14:paraId="28D88A55" w14:textId="77777777" w:rsidR="004F4F54" w:rsidRDefault="004F4F54" w:rsidP="004F4F54">
      <w:pPr>
        <w:numPr>
          <w:ilvl w:val="0"/>
          <w:numId w:val="8"/>
        </w:numPr>
        <w:spacing w:before="0" w:after="0"/>
        <w:rPr>
          <w:sz w:val="22"/>
          <w:szCs w:val="22"/>
        </w:rPr>
      </w:pPr>
      <w:r>
        <w:rPr>
          <w:sz w:val="22"/>
          <w:szCs w:val="22"/>
        </w:rPr>
        <w:t xml:space="preserve">More recently, research by SQM showed that between July 2019 and July 2020 Yass Valley Council had an increase of 11% in Airbnb listings, </w:t>
      </w:r>
      <w:proofErr w:type="spellStart"/>
      <w:r>
        <w:rPr>
          <w:sz w:val="22"/>
          <w:szCs w:val="22"/>
        </w:rPr>
        <w:t>Wingecarribee</w:t>
      </w:r>
      <w:proofErr w:type="spellEnd"/>
      <w:r>
        <w:rPr>
          <w:sz w:val="22"/>
          <w:szCs w:val="22"/>
        </w:rPr>
        <w:t xml:space="preserve"> by 9%, Tumut by 2%, </w:t>
      </w:r>
      <w:r w:rsidR="003A2289">
        <w:rPr>
          <w:sz w:val="22"/>
          <w:szCs w:val="22"/>
        </w:rPr>
        <w:t xml:space="preserve">while Goulburn </w:t>
      </w:r>
      <w:proofErr w:type="spellStart"/>
      <w:r w:rsidR="003A2289">
        <w:rPr>
          <w:sz w:val="22"/>
          <w:szCs w:val="22"/>
        </w:rPr>
        <w:t>Mulwaree</w:t>
      </w:r>
      <w:proofErr w:type="spellEnd"/>
      <w:r w:rsidR="003A2289">
        <w:rPr>
          <w:sz w:val="22"/>
          <w:szCs w:val="22"/>
        </w:rPr>
        <w:t xml:space="preserve"> and Cooma Monaro had no change, Bega Valley declined by -1%, Eurobodalla by -2%, and </w:t>
      </w:r>
      <w:proofErr w:type="spellStart"/>
      <w:r w:rsidR="003A2289">
        <w:rPr>
          <w:sz w:val="22"/>
          <w:szCs w:val="22"/>
        </w:rPr>
        <w:t>Palerang</w:t>
      </w:r>
      <w:proofErr w:type="spellEnd"/>
      <w:r w:rsidR="003A2289">
        <w:rPr>
          <w:sz w:val="22"/>
          <w:szCs w:val="22"/>
        </w:rPr>
        <w:t xml:space="preserve"> by -8%</w:t>
      </w:r>
      <w:r>
        <w:rPr>
          <w:sz w:val="22"/>
          <w:szCs w:val="22"/>
        </w:rPr>
        <w:t>.</w:t>
      </w:r>
    </w:p>
    <w:p w14:paraId="163FB2F4" w14:textId="77777777" w:rsidR="004F4F54" w:rsidRPr="0050388E" w:rsidRDefault="004F4F54" w:rsidP="004F4F54">
      <w:pPr>
        <w:numPr>
          <w:ilvl w:val="0"/>
          <w:numId w:val="8"/>
        </w:numPr>
        <w:spacing w:before="0" w:after="0"/>
        <w:rPr>
          <w:sz w:val="22"/>
          <w:szCs w:val="22"/>
        </w:rPr>
      </w:pPr>
      <w:r>
        <w:rPr>
          <w:sz w:val="22"/>
          <w:szCs w:val="22"/>
        </w:rPr>
        <w:t>Since 2020 it is likely that Airbnb listings have picked up again in the</w:t>
      </w:r>
      <w:r w:rsidR="005B2469">
        <w:rPr>
          <w:sz w:val="22"/>
          <w:szCs w:val="22"/>
        </w:rPr>
        <w:t xml:space="preserve"> South and East Tablelands</w:t>
      </w:r>
      <w:r>
        <w:rPr>
          <w:sz w:val="22"/>
          <w:szCs w:val="22"/>
        </w:rPr>
        <w:t>.</w:t>
      </w:r>
    </w:p>
    <w:p w14:paraId="175693C4" w14:textId="77777777" w:rsidR="0094467E" w:rsidRDefault="0094467E" w:rsidP="00E1656E">
      <w:pPr>
        <w:jc w:val="both"/>
        <w:rPr>
          <w:b/>
          <w:color w:val="008000"/>
          <w:sz w:val="32"/>
        </w:rPr>
      </w:pPr>
    </w:p>
    <w:p w14:paraId="6F6F7794" w14:textId="77777777" w:rsidR="00E1656E" w:rsidRPr="00560A23" w:rsidRDefault="00E1656E" w:rsidP="00E1656E">
      <w:pPr>
        <w:jc w:val="both"/>
        <w:rPr>
          <w:b/>
          <w:color w:val="008000"/>
          <w:sz w:val="32"/>
        </w:rPr>
      </w:pPr>
      <w:r w:rsidRPr="00BC0C95">
        <w:rPr>
          <w:b/>
          <w:color w:val="008000"/>
          <w:sz w:val="32"/>
        </w:rPr>
        <w:t>Re</w:t>
      </w:r>
      <w:r w:rsidRPr="00560A23">
        <w:rPr>
          <w:b/>
          <w:color w:val="008000"/>
          <w:sz w:val="32"/>
        </w:rPr>
        <w:t>ntal Stress</w:t>
      </w:r>
    </w:p>
    <w:p w14:paraId="224B5D82" w14:textId="77777777" w:rsidR="000B03FA" w:rsidRPr="00E44A18" w:rsidRDefault="000B03FA" w:rsidP="000B03FA">
      <w:pPr>
        <w:numPr>
          <w:ilvl w:val="0"/>
          <w:numId w:val="4"/>
        </w:numPr>
        <w:spacing w:before="0" w:after="0"/>
        <w:rPr>
          <w:sz w:val="22"/>
          <w:szCs w:val="22"/>
        </w:rPr>
      </w:pPr>
      <w:r w:rsidRPr="00E44A18">
        <w:rPr>
          <w:sz w:val="22"/>
          <w:szCs w:val="22"/>
        </w:rPr>
        <w:t xml:space="preserve">Households regarded as being in rental stress are renting in the private rental market and paying more than 30% of their income in rent.  Lower income </w:t>
      </w:r>
      <w:r w:rsidRPr="00E44A18">
        <w:rPr>
          <w:sz w:val="22"/>
          <w:szCs w:val="22"/>
        </w:rPr>
        <w:lastRenderedPageBreak/>
        <w:t xml:space="preserve">households in rental stress will struggle to pay for other essential household costs, such as medical or educational expenses, food, transport and energy costs. </w:t>
      </w:r>
    </w:p>
    <w:p w14:paraId="404EF7B4" w14:textId="77777777" w:rsidR="000B03FA" w:rsidRDefault="000B03FA" w:rsidP="000B03FA">
      <w:pPr>
        <w:numPr>
          <w:ilvl w:val="0"/>
          <w:numId w:val="4"/>
        </w:numPr>
        <w:spacing w:before="0" w:after="0"/>
        <w:jc w:val="both"/>
        <w:rPr>
          <w:sz w:val="22"/>
          <w:szCs w:val="22"/>
        </w:rPr>
      </w:pPr>
      <w:r w:rsidRPr="00C94A4D">
        <w:rPr>
          <w:sz w:val="22"/>
          <w:szCs w:val="22"/>
        </w:rPr>
        <w:t>At June 2021 the proportion of very low income households in rental stress in the Rest of NSW (that is, excluding Sydney) was 91.7%.  Within</w:t>
      </w:r>
      <w:r>
        <w:rPr>
          <w:sz w:val="22"/>
          <w:szCs w:val="22"/>
        </w:rPr>
        <w:t xml:space="preserve"> the South and East Tablelands </w:t>
      </w:r>
      <w:r w:rsidR="00C76874">
        <w:rPr>
          <w:sz w:val="22"/>
          <w:szCs w:val="22"/>
        </w:rPr>
        <w:t>the average was 92.2%, with the proportion varying from 100% in Yass Valley to 73.5% in Upper Lachlan Shire.</w:t>
      </w:r>
    </w:p>
    <w:p w14:paraId="30818610" w14:textId="77777777" w:rsidR="00C76874" w:rsidRDefault="00C76874" w:rsidP="000B03FA">
      <w:pPr>
        <w:numPr>
          <w:ilvl w:val="0"/>
          <w:numId w:val="4"/>
        </w:numPr>
        <w:spacing w:before="0" w:after="0"/>
        <w:jc w:val="both"/>
        <w:rPr>
          <w:sz w:val="22"/>
          <w:szCs w:val="22"/>
        </w:rPr>
      </w:pPr>
      <w:r>
        <w:rPr>
          <w:sz w:val="22"/>
          <w:szCs w:val="22"/>
        </w:rPr>
        <w:t xml:space="preserve">Five of the South and East Tablelands LGAs had a higher proportion of very low income households in rental stress than the average for the Rest of NSW – in addition to Yass Valley, Eurobodalla (95.9%), </w:t>
      </w:r>
      <w:proofErr w:type="spellStart"/>
      <w:r>
        <w:rPr>
          <w:sz w:val="22"/>
          <w:szCs w:val="22"/>
        </w:rPr>
        <w:t>Wingecarribee</w:t>
      </w:r>
      <w:proofErr w:type="spellEnd"/>
      <w:r>
        <w:rPr>
          <w:sz w:val="22"/>
          <w:szCs w:val="22"/>
        </w:rPr>
        <w:t xml:space="preserve"> (94.6%), </w:t>
      </w:r>
      <w:r w:rsidR="00120F40">
        <w:rPr>
          <w:sz w:val="22"/>
          <w:szCs w:val="22"/>
        </w:rPr>
        <w:t xml:space="preserve">Queanbeyan </w:t>
      </w:r>
      <w:proofErr w:type="spellStart"/>
      <w:r w:rsidR="00120F40">
        <w:rPr>
          <w:sz w:val="22"/>
          <w:szCs w:val="22"/>
        </w:rPr>
        <w:t>Palerang</w:t>
      </w:r>
      <w:proofErr w:type="spellEnd"/>
      <w:r w:rsidR="00120F40">
        <w:rPr>
          <w:sz w:val="22"/>
          <w:szCs w:val="22"/>
        </w:rPr>
        <w:t xml:space="preserve"> (93.4%) and Goulburn </w:t>
      </w:r>
      <w:proofErr w:type="spellStart"/>
      <w:r w:rsidR="00120F40">
        <w:rPr>
          <w:sz w:val="22"/>
          <w:szCs w:val="22"/>
        </w:rPr>
        <w:t>Mulwaree</w:t>
      </w:r>
      <w:proofErr w:type="spellEnd"/>
      <w:r w:rsidR="00120F40">
        <w:rPr>
          <w:sz w:val="22"/>
          <w:szCs w:val="22"/>
        </w:rPr>
        <w:t xml:space="preserve"> (93.3%).</w:t>
      </w:r>
    </w:p>
    <w:p w14:paraId="7400ED33" w14:textId="77777777" w:rsidR="00177D10" w:rsidRDefault="00177D10" w:rsidP="000B03FA">
      <w:pPr>
        <w:numPr>
          <w:ilvl w:val="0"/>
          <w:numId w:val="4"/>
        </w:numPr>
        <w:spacing w:before="0" w:after="0"/>
        <w:jc w:val="both"/>
        <w:rPr>
          <w:sz w:val="22"/>
          <w:szCs w:val="22"/>
        </w:rPr>
      </w:pPr>
      <w:r>
        <w:rPr>
          <w:sz w:val="22"/>
          <w:szCs w:val="22"/>
        </w:rPr>
        <w:t xml:space="preserve">For the Rest of NSW at 2021 the proportion of low income households in rental was 68.3%, with South and East Tablelands marginally higher on 68.7%.  Across the region the proportion of low income households in stress ranged from 84.2% in </w:t>
      </w:r>
      <w:proofErr w:type="spellStart"/>
      <w:r>
        <w:rPr>
          <w:sz w:val="22"/>
          <w:szCs w:val="22"/>
        </w:rPr>
        <w:t>Wingecarribee</w:t>
      </w:r>
      <w:proofErr w:type="spellEnd"/>
      <w:r>
        <w:rPr>
          <w:sz w:val="22"/>
          <w:szCs w:val="22"/>
        </w:rPr>
        <w:t xml:space="preserve"> to 38.6% in Upper Lachlan Shire.  </w:t>
      </w:r>
    </w:p>
    <w:p w14:paraId="6298B21D" w14:textId="77777777" w:rsidR="00177D10" w:rsidRDefault="00177D10" w:rsidP="000B03FA">
      <w:pPr>
        <w:numPr>
          <w:ilvl w:val="0"/>
          <w:numId w:val="4"/>
        </w:numPr>
        <w:spacing w:before="0" w:after="0"/>
        <w:jc w:val="both"/>
        <w:rPr>
          <w:sz w:val="22"/>
          <w:szCs w:val="22"/>
        </w:rPr>
      </w:pPr>
      <w:r>
        <w:rPr>
          <w:sz w:val="22"/>
          <w:szCs w:val="22"/>
        </w:rPr>
        <w:t xml:space="preserve">Four LGAs in South and East Tablelands had a higher proportion of low income households in rental stress than the Rest of NSW – in addition to </w:t>
      </w:r>
      <w:proofErr w:type="spellStart"/>
      <w:r>
        <w:rPr>
          <w:sz w:val="22"/>
          <w:szCs w:val="22"/>
        </w:rPr>
        <w:t>Wingecarribee</w:t>
      </w:r>
      <w:proofErr w:type="spellEnd"/>
      <w:r>
        <w:rPr>
          <w:sz w:val="22"/>
          <w:szCs w:val="22"/>
        </w:rPr>
        <w:t xml:space="preserve">, </w:t>
      </w:r>
      <w:r w:rsidR="00F71755">
        <w:rPr>
          <w:sz w:val="22"/>
          <w:szCs w:val="22"/>
        </w:rPr>
        <w:t xml:space="preserve">Eurobodalla (72.4%) as well as Bega Valley and Queanbeyan </w:t>
      </w:r>
      <w:proofErr w:type="spellStart"/>
      <w:r w:rsidR="00F71755">
        <w:rPr>
          <w:sz w:val="22"/>
          <w:szCs w:val="22"/>
        </w:rPr>
        <w:t>Palerang</w:t>
      </w:r>
      <w:proofErr w:type="spellEnd"/>
      <w:r w:rsidR="00F71755">
        <w:rPr>
          <w:sz w:val="22"/>
          <w:szCs w:val="22"/>
        </w:rPr>
        <w:t xml:space="preserve"> (both 70.2%).</w:t>
      </w:r>
    </w:p>
    <w:p w14:paraId="16F5F4A7" w14:textId="4D3AF185" w:rsidR="00F71755" w:rsidRDefault="006D00D3" w:rsidP="000B03FA">
      <w:pPr>
        <w:numPr>
          <w:ilvl w:val="0"/>
          <w:numId w:val="4"/>
        </w:numPr>
        <w:spacing w:before="0" w:after="0"/>
        <w:jc w:val="both"/>
        <w:rPr>
          <w:sz w:val="22"/>
          <w:szCs w:val="22"/>
        </w:rPr>
      </w:pPr>
      <w:r>
        <w:rPr>
          <w:sz w:val="22"/>
          <w:szCs w:val="22"/>
        </w:rPr>
        <w:t xml:space="preserve">However, while the proportion of very low and low income households in stress increased in every LGA in South and East Tablelands between the 2016 and 2021 Census (with the exception of Upper Lachlan), the actual numbers in stress have </w:t>
      </w:r>
      <w:r w:rsidR="00152AEF">
        <w:rPr>
          <w:sz w:val="22"/>
          <w:szCs w:val="22"/>
        </w:rPr>
        <w:t xml:space="preserve">declined in every LGA.  </w:t>
      </w:r>
    </w:p>
    <w:p w14:paraId="74B776A4" w14:textId="77777777" w:rsidR="007E440C" w:rsidRDefault="007E440C" w:rsidP="007E440C">
      <w:pPr>
        <w:pStyle w:val="ListParagraph"/>
        <w:numPr>
          <w:ilvl w:val="0"/>
          <w:numId w:val="4"/>
        </w:numPr>
        <w:spacing w:before="0" w:after="0"/>
        <w:rPr>
          <w:sz w:val="22"/>
          <w:szCs w:val="22"/>
        </w:rPr>
      </w:pPr>
      <w:r>
        <w:rPr>
          <w:sz w:val="22"/>
          <w:szCs w:val="22"/>
        </w:rPr>
        <w:t>Below is a graph of the proportion of very low and low income households in rental stress in each South and East Tablelands LGA at 2021 and a table showing the change in the proportion of very low and low income households in stress between 2016 and 2021.</w:t>
      </w:r>
    </w:p>
    <w:p w14:paraId="3D4F78D3" w14:textId="77777777" w:rsidR="00E1656E" w:rsidRPr="00EC3534" w:rsidRDefault="00E1656E" w:rsidP="00D82AB0">
      <w:pPr>
        <w:spacing w:before="0" w:after="0"/>
        <w:jc w:val="both"/>
        <w:rPr>
          <w:sz w:val="22"/>
          <w:szCs w:val="22"/>
        </w:rPr>
      </w:pPr>
    </w:p>
    <w:p w14:paraId="2CDB0B3F" w14:textId="77777777" w:rsidR="001A0949" w:rsidRDefault="007E440C" w:rsidP="00E1656E">
      <w:pPr>
        <w:jc w:val="both"/>
        <w:rPr>
          <w:sz w:val="20"/>
          <w:szCs w:val="20"/>
          <w:highlight w:val="yellow"/>
        </w:rPr>
      </w:pPr>
      <w:r w:rsidRPr="00107B40">
        <w:rPr>
          <w:noProof/>
          <w:sz w:val="20"/>
          <w:szCs w:val="20"/>
        </w:rPr>
        <w:drawing>
          <wp:inline distT="0" distB="0" distL="0" distR="0" wp14:anchorId="24231D0C" wp14:editId="721E1A37">
            <wp:extent cx="5819775" cy="3269827"/>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600" cy="3271414"/>
                    </a:xfrm>
                    <a:prstGeom prst="rect">
                      <a:avLst/>
                    </a:prstGeom>
                    <a:noFill/>
                  </pic:spPr>
                </pic:pic>
              </a:graphicData>
            </a:graphic>
          </wp:inline>
        </w:drawing>
      </w:r>
    </w:p>
    <w:p w14:paraId="6A4B4C7F" w14:textId="77777777" w:rsidR="00047A40" w:rsidRPr="00640C32" w:rsidRDefault="00640C32" w:rsidP="00640C32">
      <w:pPr>
        <w:pStyle w:val="ListParagraph"/>
        <w:numPr>
          <w:ilvl w:val="0"/>
          <w:numId w:val="16"/>
        </w:numPr>
        <w:jc w:val="both"/>
        <w:rPr>
          <w:sz w:val="22"/>
          <w:szCs w:val="22"/>
        </w:rPr>
      </w:pPr>
      <w:r>
        <w:rPr>
          <w:sz w:val="22"/>
          <w:szCs w:val="22"/>
        </w:rPr>
        <w:lastRenderedPageBreak/>
        <w:t>Below is a table comparing the proportion of very low and low income households in rental stress in South and E</w:t>
      </w:r>
      <w:r w:rsidR="00B64321">
        <w:rPr>
          <w:sz w:val="22"/>
          <w:szCs w:val="22"/>
        </w:rPr>
        <w:t>ast Tablelands in 2016 and 2021</w:t>
      </w:r>
      <w:r w:rsidR="00653DAE">
        <w:rPr>
          <w:sz w:val="22"/>
          <w:szCs w:val="22"/>
        </w:rPr>
        <w:t>.</w:t>
      </w:r>
    </w:p>
    <w:p w14:paraId="65C29175" w14:textId="77777777" w:rsidR="00047A40" w:rsidRDefault="00047A40" w:rsidP="00047A40">
      <w:pPr>
        <w:jc w:val="both"/>
        <w:rPr>
          <w:sz w:val="22"/>
          <w:szCs w:val="22"/>
        </w:rPr>
      </w:pPr>
      <w:r w:rsidRPr="00047A40">
        <w:rPr>
          <w:noProof/>
        </w:rPr>
        <w:drawing>
          <wp:inline distT="0" distB="0" distL="0" distR="0" wp14:anchorId="07E0AD6A" wp14:editId="516971AE">
            <wp:extent cx="4410075" cy="3562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75" cy="3562350"/>
                    </a:xfrm>
                    <a:prstGeom prst="rect">
                      <a:avLst/>
                    </a:prstGeom>
                    <a:noFill/>
                    <a:ln>
                      <a:noFill/>
                    </a:ln>
                  </pic:spPr>
                </pic:pic>
              </a:graphicData>
            </a:graphic>
          </wp:inline>
        </w:drawing>
      </w:r>
    </w:p>
    <w:p w14:paraId="74530FDD" w14:textId="77777777" w:rsidR="003B4221" w:rsidRPr="003B4221" w:rsidRDefault="003B4221" w:rsidP="003B4221">
      <w:pPr>
        <w:spacing w:before="0" w:after="0"/>
        <w:rPr>
          <w:sz w:val="22"/>
          <w:szCs w:val="22"/>
        </w:rPr>
      </w:pPr>
    </w:p>
    <w:p w14:paraId="319493BD" w14:textId="77777777" w:rsidR="00D43CDC" w:rsidRDefault="00D43CDC" w:rsidP="00D43CDC">
      <w:pPr>
        <w:pStyle w:val="ListParagraph"/>
        <w:numPr>
          <w:ilvl w:val="0"/>
          <w:numId w:val="13"/>
        </w:numPr>
        <w:spacing w:before="0" w:after="0"/>
        <w:rPr>
          <w:sz w:val="22"/>
          <w:szCs w:val="22"/>
        </w:rPr>
      </w:pPr>
      <w:r>
        <w:rPr>
          <w:sz w:val="22"/>
          <w:szCs w:val="22"/>
        </w:rPr>
        <w:t>The next table shows the change in the number of very low and low income households in rental stress at 2016 and at 2021.</w:t>
      </w:r>
    </w:p>
    <w:p w14:paraId="2BF47647" w14:textId="77777777" w:rsidR="00D43CDC" w:rsidRDefault="00D43CDC" w:rsidP="00D43CDC">
      <w:pPr>
        <w:pStyle w:val="ListParagraph"/>
        <w:numPr>
          <w:ilvl w:val="0"/>
          <w:numId w:val="13"/>
        </w:numPr>
        <w:spacing w:before="0" w:after="0"/>
        <w:rPr>
          <w:sz w:val="22"/>
          <w:szCs w:val="22"/>
        </w:rPr>
      </w:pPr>
      <w:r>
        <w:rPr>
          <w:sz w:val="22"/>
          <w:szCs w:val="22"/>
        </w:rPr>
        <w:t>Again Covid has had an impact on the rental market and on tenants.</w:t>
      </w:r>
    </w:p>
    <w:p w14:paraId="5C6A599C" w14:textId="77777777" w:rsidR="00D43CDC" w:rsidRDefault="00D43CDC" w:rsidP="00D43CDC">
      <w:pPr>
        <w:pStyle w:val="ListParagraph"/>
        <w:numPr>
          <w:ilvl w:val="0"/>
          <w:numId w:val="13"/>
        </w:numPr>
        <w:spacing w:before="0" w:after="0"/>
        <w:rPr>
          <w:sz w:val="22"/>
          <w:szCs w:val="22"/>
        </w:rPr>
      </w:pPr>
      <w:r>
        <w:rPr>
          <w:sz w:val="22"/>
          <w:szCs w:val="22"/>
        </w:rPr>
        <w:t>A look at CRA (Commonwealth Rent Assistance) recipients in housing stress gives some further information on what has been happening with lower income households in rental stress over this time frame.</w:t>
      </w:r>
    </w:p>
    <w:p w14:paraId="76FC8B03" w14:textId="77777777" w:rsidR="00D43CDC" w:rsidRDefault="00D43CDC" w:rsidP="00D43CDC">
      <w:pPr>
        <w:spacing w:before="0" w:after="0"/>
        <w:rPr>
          <w:sz w:val="22"/>
          <w:szCs w:val="22"/>
        </w:rPr>
      </w:pPr>
    </w:p>
    <w:p w14:paraId="516DEE05" w14:textId="77777777" w:rsidR="00D43CDC" w:rsidRDefault="00D43CDC" w:rsidP="00D43CDC">
      <w:pPr>
        <w:spacing w:before="0" w:after="0"/>
        <w:rPr>
          <w:sz w:val="22"/>
          <w:szCs w:val="22"/>
        </w:rPr>
      </w:pPr>
    </w:p>
    <w:p w14:paraId="01512072" w14:textId="77777777" w:rsidR="00D43CDC" w:rsidRDefault="003B4221" w:rsidP="00D43CDC">
      <w:pPr>
        <w:spacing w:before="0" w:after="0"/>
        <w:rPr>
          <w:sz w:val="22"/>
          <w:szCs w:val="22"/>
        </w:rPr>
      </w:pPr>
      <w:r w:rsidRPr="003B4221">
        <w:rPr>
          <w:noProof/>
        </w:rPr>
        <w:lastRenderedPageBreak/>
        <w:drawing>
          <wp:inline distT="0" distB="0" distL="0" distR="0" wp14:anchorId="553B0690" wp14:editId="5477A0CC">
            <wp:extent cx="4410075" cy="34385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0075" cy="3438525"/>
                    </a:xfrm>
                    <a:prstGeom prst="rect">
                      <a:avLst/>
                    </a:prstGeom>
                    <a:noFill/>
                    <a:ln>
                      <a:noFill/>
                    </a:ln>
                  </pic:spPr>
                </pic:pic>
              </a:graphicData>
            </a:graphic>
          </wp:inline>
        </w:drawing>
      </w:r>
    </w:p>
    <w:p w14:paraId="205654BD" w14:textId="77777777" w:rsidR="00E564E3" w:rsidRDefault="00E564E3" w:rsidP="00E564E3">
      <w:pPr>
        <w:spacing w:before="0" w:line="259" w:lineRule="auto"/>
        <w:jc w:val="both"/>
        <w:rPr>
          <w:sz w:val="22"/>
          <w:szCs w:val="22"/>
        </w:rPr>
      </w:pPr>
    </w:p>
    <w:p w14:paraId="5B3C02CD" w14:textId="77777777" w:rsidR="005A349E" w:rsidRDefault="005A349E" w:rsidP="005A349E">
      <w:pPr>
        <w:pStyle w:val="ListParagraph"/>
        <w:numPr>
          <w:ilvl w:val="0"/>
          <w:numId w:val="10"/>
        </w:numPr>
        <w:spacing w:before="0" w:after="0"/>
        <w:rPr>
          <w:sz w:val="22"/>
          <w:szCs w:val="22"/>
        </w:rPr>
      </w:pPr>
      <w:r>
        <w:rPr>
          <w:sz w:val="22"/>
          <w:szCs w:val="22"/>
        </w:rPr>
        <w:t>In line with other parts of NSW, between 2016 and 2020, the total number of CRA recipients in the South and East Tablelands increased significantly, while the number in stress actually declined.  However, between 2020 and 2021 the number of CRA recipients declined while the number in stress increased.</w:t>
      </w:r>
    </w:p>
    <w:p w14:paraId="28445DA9" w14:textId="77777777" w:rsidR="005A349E" w:rsidRPr="00C36285" w:rsidRDefault="005A349E" w:rsidP="005A349E">
      <w:pPr>
        <w:pStyle w:val="ListParagraph"/>
        <w:numPr>
          <w:ilvl w:val="0"/>
          <w:numId w:val="10"/>
        </w:numPr>
        <w:rPr>
          <w:sz w:val="22"/>
          <w:szCs w:val="22"/>
        </w:rPr>
      </w:pPr>
      <w:r w:rsidRPr="00C36285">
        <w:rPr>
          <w:sz w:val="22"/>
          <w:szCs w:val="22"/>
        </w:rPr>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61C9DCD5" w14:textId="77777777" w:rsidR="005A349E" w:rsidRDefault="005A349E" w:rsidP="005A349E">
      <w:pPr>
        <w:pStyle w:val="ListParagraph"/>
        <w:numPr>
          <w:ilvl w:val="0"/>
          <w:numId w:val="10"/>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1829B950" w14:textId="77777777" w:rsidR="005A349E" w:rsidRDefault="005A349E" w:rsidP="005A349E">
      <w:pPr>
        <w:pStyle w:val="ListParagraph"/>
        <w:numPr>
          <w:ilvl w:val="0"/>
          <w:numId w:val="10"/>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13B6F50D" w14:textId="77777777" w:rsidR="005A349E" w:rsidRDefault="005A349E" w:rsidP="005A349E">
      <w:pPr>
        <w:pStyle w:val="ListParagraph"/>
        <w:numPr>
          <w:ilvl w:val="0"/>
          <w:numId w:val="10"/>
        </w:numPr>
        <w:spacing w:before="0" w:after="0"/>
        <w:rPr>
          <w:sz w:val="22"/>
          <w:szCs w:val="22"/>
        </w:rPr>
      </w:pPr>
      <w:r>
        <w:rPr>
          <w:sz w:val="22"/>
          <w:szCs w:val="22"/>
        </w:rPr>
        <w:t>The two graphs below clearly demonstrate this experience in South and East Tablelands.</w:t>
      </w:r>
    </w:p>
    <w:p w14:paraId="6CE3B608" w14:textId="77777777" w:rsidR="00280DA8" w:rsidRPr="000B748B" w:rsidRDefault="00280DA8" w:rsidP="000B748B">
      <w:pPr>
        <w:pStyle w:val="ListParagraph"/>
        <w:spacing w:before="0" w:line="259" w:lineRule="auto"/>
        <w:ind w:left="360"/>
        <w:jc w:val="both"/>
        <w:rPr>
          <w:sz w:val="22"/>
          <w:szCs w:val="22"/>
        </w:rPr>
      </w:pPr>
      <w:r w:rsidRPr="000B748B">
        <w:rPr>
          <w:sz w:val="22"/>
          <w:szCs w:val="22"/>
        </w:rPr>
        <w:t xml:space="preserve"> </w:t>
      </w:r>
    </w:p>
    <w:p w14:paraId="76CB4797" w14:textId="77777777" w:rsidR="00D22FE3" w:rsidRDefault="00D22FE3" w:rsidP="00E1656E">
      <w:pPr>
        <w:jc w:val="both"/>
        <w:rPr>
          <w:sz w:val="20"/>
          <w:szCs w:val="20"/>
        </w:rPr>
      </w:pPr>
    </w:p>
    <w:p w14:paraId="6F866144" w14:textId="77777777" w:rsidR="00E564E3" w:rsidRDefault="00FF61CA" w:rsidP="00E1656E">
      <w:pPr>
        <w:jc w:val="both"/>
        <w:rPr>
          <w:sz w:val="20"/>
          <w:szCs w:val="20"/>
        </w:rPr>
      </w:pPr>
      <w:r>
        <w:rPr>
          <w:noProof/>
          <w:sz w:val="20"/>
          <w:szCs w:val="20"/>
        </w:rPr>
        <w:lastRenderedPageBreak/>
        <w:drawing>
          <wp:inline distT="0" distB="0" distL="0" distR="0" wp14:anchorId="0C608DD3" wp14:editId="6F2D97B7">
            <wp:extent cx="6127115" cy="34016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7115" cy="3401695"/>
                    </a:xfrm>
                    <a:prstGeom prst="rect">
                      <a:avLst/>
                    </a:prstGeom>
                    <a:noFill/>
                  </pic:spPr>
                </pic:pic>
              </a:graphicData>
            </a:graphic>
          </wp:inline>
        </w:drawing>
      </w:r>
    </w:p>
    <w:p w14:paraId="114E5FD2" w14:textId="77777777" w:rsidR="00E564E3" w:rsidRDefault="00E564E3" w:rsidP="00E1656E">
      <w:pPr>
        <w:jc w:val="both"/>
        <w:rPr>
          <w:sz w:val="20"/>
          <w:szCs w:val="20"/>
        </w:rPr>
      </w:pPr>
    </w:p>
    <w:p w14:paraId="06BEC758" w14:textId="77777777" w:rsidR="00E564E3" w:rsidRDefault="00FF61CA" w:rsidP="00E1656E">
      <w:pPr>
        <w:jc w:val="both"/>
        <w:rPr>
          <w:sz w:val="20"/>
          <w:szCs w:val="20"/>
        </w:rPr>
      </w:pPr>
      <w:r>
        <w:rPr>
          <w:noProof/>
          <w:sz w:val="20"/>
          <w:szCs w:val="20"/>
        </w:rPr>
        <w:drawing>
          <wp:inline distT="0" distB="0" distL="0" distR="0" wp14:anchorId="43222CEF" wp14:editId="1122A492">
            <wp:extent cx="6010910" cy="32677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0910" cy="3267710"/>
                    </a:xfrm>
                    <a:prstGeom prst="rect">
                      <a:avLst/>
                    </a:prstGeom>
                    <a:noFill/>
                  </pic:spPr>
                </pic:pic>
              </a:graphicData>
            </a:graphic>
          </wp:inline>
        </w:drawing>
      </w:r>
    </w:p>
    <w:p w14:paraId="5FF23C74" w14:textId="77777777" w:rsidR="005A349E" w:rsidRPr="007D3CF8" w:rsidRDefault="005A349E" w:rsidP="005A349E">
      <w:pPr>
        <w:numPr>
          <w:ilvl w:val="0"/>
          <w:numId w:val="16"/>
        </w:numPr>
        <w:spacing w:before="0" w:after="0"/>
        <w:rPr>
          <w:sz w:val="22"/>
          <w:szCs w:val="22"/>
        </w:rPr>
      </w:pPr>
      <w:r w:rsidRPr="007D3CF8">
        <w:rPr>
          <w:sz w:val="22"/>
          <w:szCs w:val="22"/>
        </w:rPr>
        <w:t xml:space="preserve">The table below shows the number and proportion of tenants in the </w:t>
      </w:r>
      <w:r w:rsidR="007D3CF8">
        <w:rPr>
          <w:sz w:val="22"/>
          <w:szCs w:val="22"/>
        </w:rPr>
        <w:t xml:space="preserve">South and East Tablelands </w:t>
      </w:r>
      <w:r w:rsidRPr="007D3CF8">
        <w:rPr>
          <w:sz w:val="22"/>
          <w:szCs w:val="22"/>
        </w:rPr>
        <w:t xml:space="preserve">region who are in the private rental market, are in receipt of Commonwealth Rent Assistance, and even with this additional income support, are in housing stress.  </w:t>
      </w:r>
    </w:p>
    <w:p w14:paraId="6B0624E6" w14:textId="77777777" w:rsidR="007D3CF8" w:rsidRDefault="005A349E" w:rsidP="00463B29">
      <w:pPr>
        <w:numPr>
          <w:ilvl w:val="0"/>
          <w:numId w:val="16"/>
        </w:numPr>
        <w:spacing w:before="0" w:after="0"/>
        <w:rPr>
          <w:sz w:val="22"/>
          <w:szCs w:val="22"/>
        </w:rPr>
      </w:pPr>
      <w:r w:rsidRPr="007D3CF8">
        <w:rPr>
          <w:sz w:val="22"/>
          <w:szCs w:val="22"/>
        </w:rPr>
        <w:t xml:space="preserve">There were a total of </w:t>
      </w:r>
      <w:r w:rsidR="007D3CF8" w:rsidRPr="007D3CF8">
        <w:rPr>
          <w:sz w:val="22"/>
          <w:szCs w:val="22"/>
        </w:rPr>
        <w:t xml:space="preserve">6,174 </w:t>
      </w:r>
      <w:r w:rsidRPr="007D3CF8">
        <w:rPr>
          <w:sz w:val="22"/>
          <w:szCs w:val="22"/>
        </w:rPr>
        <w:t xml:space="preserve">tenants in receipt of CRA and in housing stress across the region in 2021, up from </w:t>
      </w:r>
      <w:r w:rsidR="007D3CF8" w:rsidRPr="007D3CF8">
        <w:rPr>
          <w:sz w:val="22"/>
          <w:szCs w:val="22"/>
        </w:rPr>
        <w:t xml:space="preserve">5,068 </w:t>
      </w:r>
      <w:r w:rsidRPr="007D3CF8">
        <w:rPr>
          <w:sz w:val="22"/>
          <w:szCs w:val="22"/>
        </w:rPr>
        <w:t xml:space="preserve">in 2016. </w:t>
      </w:r>
      <w:r w:rsidR="007D3CF8">
        <w:rPr>
          <w:sz w:val="22"/>
          <w:szCs w:val="22"/>
        </w:rPr>
        <w:t xml:space="preserve"> In 2016, 32.4% of CRA </w:t>
      </w:r>
      <w:r w:rsidR="007D3CF8">
        <w:rPr>
          <w:sz w:val="22"/>
          <w:szCs w:val="22"/>
        </w:rPr>
        <w:lastRenderedPageBreak/>
        <w:t>recipients in South and East Tablelands</w:t>
      </w:r>
      <w:r w:rsidR="005B78B3">
        <w:rPr>
          <w:sz w:val="22"/>
          <w:szCs w:val="22"/>
        </w:rPr>
        <w:t xml:space="preserve"> were in stress</w:t>
      </w:r>
      <w:r w:rsidR="007D3CF8">
        <w:rPr>
          <w:sz w:val="22"/>
          <w:szCs w:val="22"/>
        </w:rPr>
        <w:t>, increasing to 39.8% in 2021.</w:t>
      </w:r>
      <w:r w:rsidR="00440B2D">
        <w:rPr>
          <w:sz w:val="22"/>
          <w:szCs w:val="22"/>
        </w:rPr>
        <w:t xml:space="preserve">  </w:t>
      </w:r>
    </w:p>
    <w:p w14:paraId="65C287EF" w14:textId="77777777" w:rsidR="005A349E" w:rsidRDefault="005A349E" w:rsidP="00463B29">
      <w:pPr>
        <w:numPr>
          <w:ilvl w:val="0"/>
          <w:numId w:val="16"/>
        </w:numPr>
        <w:spacing w:before="0" w:after="0"/>
        <w:rPr>
          <w:sz w:val="22"/>
          <w:szCs w:val="22"/>
        </w:rPr>
      </w:pPr>
      <w:r w:rsidRPr="007D3CF8">
        <w:rPr>
          <w:sz w:val="22"/>
          <w:szCs w:val="22"/>
        </w:rPr>
        <w:t>This indicates that this region is</w:t>
      </w:r>
      <w:r w:rsidR="007D3CF8">
        <w:rPr>
          <w:sz w:val="22"/>
          <w:szCs w:val="22"/>
        </w:rPr>
        <w:t xml:space="preserve"> becoming increasingly unaffordable for lower income tenants</w:t>
      </w:r>
      <w:r w:rsidRPr="007D3CF8">
        <w:rPr>
          <w:sz w:val="22"/>
          <w:szCs w:val="22"/>
        </w:rPr>
        <w:t>.</w:t>
      </w:r>
    </w:p>
    <w:p w14:paraId="72E5C9BE" w14:textId="77777777" w:rsidR="00440B2D" w:rsidRPr="007D3CF8" w:rsidRDefault="00440B2D" w:rsidP="00463B29">
      <w:pPr>
        <w:numPr>
          <w:ilvl w:val="0"/>
          <w:numId w:val="16"/>
        </w:numPr>
        <w:spacing w:before="0" w:after="0"/>
        <w:rPr>
          <w:sz w:val="22"/>
          <w:szCs w:val="22"/>
        </w:rPr>
      </w:pPr>
      <w:r>
        <w:rPr>
          <w:sz w:val="22"/>
          <w:szCs w:val="22"/>
        </w:rPr>
        <w:t xml:space="preserve">South East Tablelands as a whole has a slightly higher proportion of CRA recipients in housing stress than the Rest of NSW average (39.2%). There are five local government areas in the region with a higher proportion in stress than the Rest of NSW – </w:t>
      </w:r>
      <w:proofErr w:type="spellStart"/>
      <w:r>
        <w:rPr>
          <w:sz w:val="22"/>
          <w:szCs w:val="22"/>
        </w:rPr>
        <w:t>Wingecarribee</w:t>
      </w:r>
      <w:proofErr w:type="spellEnd"/>
      <w:r>
        <w:rPr>
          <w:sz w:val="22"/>
          <w:szCs w:val="22"/>
        </w:rPr>
        <w:t xml:space="preserve">, Queanbeyan </w:t>
      </w:r>
      <w:proofErr w:type="spellStart"/>
      <w:r>
        <w:rPr>
          <w:sz w:val="22"/>
          <w:szCs w:val="22"/>
        </w:rPr>
        <w:t>Palerang</w:t>
      </w:r>
      <w:proofErr w:type="spellEnd"/>
      <w:r>
        <w:rPr>
          <w:sz w:val="22"/>
          <w:szCs w:val="22"/>
        </w:rPr>
        <w:t xml:space="preserve">, Goulburn </w:t>
      </w:r>
      <w:proofErr w:type="spellStart"/>
      <w:r>
        <w:rPr>
          <w:sz w:val="22"/>
          <w:szCs w:val="22"/>
        </w:rPr>
        <w:t>Mulwaree</w:t>
      </w:r>
      <w:proofErr w:type="spellEnd"/>
      <w:r>
        <w:rPr>
          <w:sz w:val="22"/>
          <w:szCs w:val="22"/>
        </w:rPr>
        <w:t xml:space="preserve">, Eurobodalla and Yass Valley. </w:t>
      </w:r>
      <w:proofErr w:type="spellStart"/>
      <w:r>
        <w:rPr>
          <w:sz w:val="22"/>
          <w:szCs w:val="22"/>
        </w:rPr>
        <w:t>Wingecarribee</w:t>
      </w:r>
      <w:proofErr w:type="spellEnd"/>
      <w:r>
        <w:rPr>
          <w:sz w:val="22"/>
          <w:szCs w:val="22"/>
        </w:rPr>
        <w:t xml:space="preserve"> has the highest proportion with 45.5%.  </w:t>
      </w:r>
      <w:r w:rsidR="000327D7">
        <w:rPr>
          <w:sz w:val="22"/>
          <w:szCs w:val="22"/>
        </w:rPr>
        <w:t>These areas in particular are less affordable for lower income tenants.</w:t>
      </w:r>
    </w:p>
    <w:p w14:paraId="747969C4" w14:textId="77777777" w:rsidR="005A349E" w:rsidRPr="007D3CF8" w:rsidRDefault="005A349E" w:rsidP="00440B2D">
      <w:pPr>
        <w:spacing w:before="0" w:after="0"/>
        <w:ind w:left="360"/>
        <w:rPr>
          <w:sz w:val="22"/>
          <w:szCs w:val="22"/>
        </w:rPr>
      </w:pPr>
    </w:p>
    <w:p w14:paraId="70DB8C32" w14:textId="77777777" w:rsidR="00B66545" w:rsidRDefault="00B66545" w:rsidP="00D82AB0">
      <w:pPr>
        <w:ind w:firstLine="360"/>
        <w:jc w:val="both"/>
        <w:rPr>
          <w:sz w:val="20"/>
          <w:szCs w:val="20"/>
        </w:rPr>
      </w:pPr>
      <w:r w:rsidRPr="00B66545">
        <w:rPr>
          <w:noProof/>
        </w:rPr>
        <w:drawing>
          <wp:inline distT="0" distB="0" distL="0" distR="0" wp14:anchorId="79101D0C" wp14:editId="7A375569">
            <wp:extent cx="3800475" cy="3019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3019425"/>
                    </a:xfrm>
                    <a:prstGeom prst="rect">
                      <a:avLst/>
                    </a:prstGeom>
                    <a:noFill/>
                    <a:ln>
                      <a:noFill/>
                    </a:ln>
                  </pic:spPr>
                </pic:pic>
              </a:graphicData>
            </a:graphic>
          </wp:inline>
        </w:drawing>
      </w:r>
    </w:p>
    <w:p w14:paraId="319E4E14" w14:textId="77777777" w:rsidR="001A0949" w:rsidRDefault="001A0949" w:rsidP="00E1656E">
      <w:pPr>
        <w:jc w:val="both"/>
        <w:rPr>
          <w:sz w:val="20"/>
          <w:szCs w:val="20"/>
        </w:rPr>
      </w:pPr>
    </w:p>
    <w:p w14:paraId="21262F1B" w14:textId="77777777" w:rsidR="00787EB8" w:rsidRPr="00DD06C2" w:rsidRDefault="00787EB8" w:rsidP="00E1656E">
      <w:pPr>
        <w:jc w:val="both"/>
        <w:rPr>
          <w:sz w:val="20"/>
          <w:szCs w:val="20"/>
        </w:rPr>
      </w:pPr>
    </w:p>
    <w:p w14:paraId="50E9F07B" w14:textId="77777777" w:rsidR="00E1656E" w:rsidRPr="00E7028F" w:rsidRDefault="00E1656E" w:rsidP="00E1656E">
      <w:pPr>
        <w:jc w:val="both"/>
        <w:rPr>
          <w:b/>
          <w:color w:val="008000"/>
          <w:sz w:val="32"/>
        </w:rPr>
      </w:pPr>
      <w:r w:rsidRPr="00E7028F">
        <w:rPr>
          <w:b/>
          <w:color w:val="008000"/>
          <w:sz w:val="32"/>
        </w:rPr>
        <w:t>Loss of Affordable Housing Stock</w:t>
      </w:r>
    </w:p>
    <w:p w14:paraId="39BB7813" w14:textId="77777777" w:rsidR="00E1656E" w:rsidRPr="00EC3534" w:rsidRDefault="00E54E09" w:rsidP="00BE1D4B">
      <w:pPr>
        <w:numPr>
          <w:ilvl w:val="0"/>
          <w:numId w:val="5"/>
        </w:numPr>
        <w:spacing w:before="0" w:after="0"/>
        <w:jc w:val="both"/>
        <w:rPr>
          <w:sz w:val="22"/>
          <w:szCs w:val="22"/>
        </w:rPr>
      </w:pPr>
      <w:r w:rsidRPr="00DD561F">
        <w:rPr>
          <w:sz w:val="22"/>
          <w:szCs w:val="22"/>
        </w:rPr>
        <w:t>DCJ</w:t>
      </w:r>
      <w:r w:rsidR="00E1656E" w:rsidRPr="00DD561F">
        <w:rPr>
          <w:sz w:val="22"/>
          <w:szCs w:val="22"/>
        </w:rPr>
        <w:t xml:space="preserve"> has</w:t>
      </w:r>
      <w:r w:rsidR="00E1656E" w:rsidRPr="00EC3534">
        <w:rPr>
          <w:sz w:val="22"/>
          <w:szCs w:val="22"/>
        </w:rPr>
        <w:t xml:space="preserve"> calculated the number of new bonds lodged with the Rental Bond Board that were affordable to low income earners in </w:t>
      </w:r>
      <w:r w:rsidR="006D1891">
        <w:rPr>
          <w:sz w:val="22"/>
          <w:szCs w:val="22"/>
        </w:rPr>
        <w:t xml:space="preserve">the </w:t>
      </w:r>
      <w:r w:rsidR="00177604">
        <w:rPr>
          <w:sz w:val="22"/>
          <w:szCs w:val="22"/>
        </w:rPr>
        <w:t xml:space="preserve">South and East Tablelands </w:t>
      </w:r>
      <w:r w:rsidR="000543CE">
        <w:rPr>
          <w:sz w:val="22"/>
          <w:szCs w:val="22"/>
        </w:rPr>
        <w:t xml:space="preserve">region </w:t>
      </w:r>
      <w:r w:rsidR="00E1656E" w:rsidRPr="00EC3534">
        <w:rPr>
          <w:sz w:val="22"/>
          <w:szCs w:val="22"/>
        </w:rPr>
        <w:t>in 2017</w:t>
      </w:r>
      <w:r w:rsidR="00AF70A3">
        <w:rPr>
          <w:sz w:val="22"/>
          <w:szCs w:val="22"/>
        </w:rPr>
        <w:t>, 2021 and 2022</w:t>
      </w:r>
      <w:r w:rsidR="00E1656E" w:rsidRPr="00EC3534">
        <w:rPr>
          <w:sz w:val="22"/>
          <w:szCs w:val="22"/>
        </w:rPr>
        <w:t xml:space="preserve">.  </w:t>
      </w:r>
      <w:r w:rsidR="006D1891">
        <w:rPr>
          <w:sz w:val="22"/>
          <w:szCs w:val="22"/>
        </w:rPr>
        <w:t xml:space="preserve">The </w:t>
      </w:r>
      <w:r w:rsidR="000543CE">
        <w:rPr>
          <w:sz w:val="22"/>
          <w:szCs w:val="22"/>
        </w:rPr>
        <w:t xml:space="preserve">region </w:t>
      </w:r>
      <w:r w:rsidR="00E1656E" w:rsidRPr="00EC3534">
        <w:rPr>
          <w:sz w:val="22"/>
          <w:szCs w:val="22"/>
        </w:rPr>
        <w:t>experienced a decline in affordable bonds lodged, and consequently loss of affordable housing between 20</w:t>
      </w:r>
      <w:r w:rsidR="00475D18">
        <w:rPr>
          <w:sz w:val="22"/>
          <w:szCs w:val="22"/>
        </w:rPr>
        <w:t>17</w:t>
      </w:r>
      <w:r w:rsidR="00E1656E" w:rsidRPr="00EC3534">
        <w:rPr>
          <w:sz w:val="22"/>
          <w:szCs w:val="22"/>
        </w:rPr>
        <w:t xml:space="preserve"> and 20</w:t>
      </w:r>
      <w:r w:rsidR="001E5759">
        <w:rPr>
          <w:sz w:val="22"/>
          <w:szCs w:val="22"/>
        </w:rPr>
        <w:t>22</w:t>
      </w:r>
      <w:r w:rsidR="00E1656E" w:rsidRPr="00EC3534">
        <w:rPr>
          <w:sz w:val="22"/>
          <w:szCs w:val="22"/>
        </w:rPr>
        <w:t xml:space="preserve"> – with </w:t>
      </w:r>
      <w:r w:rsidR="00475D18">
        <w:rPr>
          <w:sz w:val="22"/>
          <w:szCs w:val="22"/>
        </w:rPr>
        <w:t>463 fewer affordable bonds lodged.  This</w:t>
      </w:r>
      <w:r w:rsidR="00E1656E" w:rsidRPr="00EC3534">
        <w:rPr>
          <w:sz w:val="22"/>
          <w:szCs w:val="22"/>
        </w:rPr>
        <w:t xml:space="preserve"> represent</w:t>
      </w:r>
      <w:r w:rsidR="00475D18">
        <w:rPr>
          <w:sz w:val="22"/>
          <w:szCs w:val="22"/>
        </w:rPr>
        <w:t>s</w:t>
      </w:r>
      <w:r w:rsidR="00E1656E" w:rsidRPr="00EC3534">
        <w:rPr>
          <w:sz w:val="22"/>
          <w:szCs w:val="22"/>
        </w:rPr>
        <w:t xml:space="preserve"> a </w:t>
      </w:r>
      <w:r w:rsidR="00475D18">
        <w:rPr>
          <w:sz w:val="22"/>
          <w:szCs w:val="22"/>
        </w:rPr>
        <w:t>decline</w:t>
      </w:r>
      <w:r w:rsidR="006D1891">
        <w:rPr>
          <w:sz w:val="22"/>
          <w:szCs w:val="22"/>
        </w:rPr>
        <w:t xml:space="preserve"> of </w:t>
      </w:r>
      <w:r w:rsidR="007065F9">
        <w:rPr>
          <w:sz w:val="22"/>
          <w:szCs w:val="22"/>
        </w:rPr>
        <w:t>-</w:t>
      </w:r>
      <w:r w:rsidR="00475D18">
        <w:rPr>
          <w:sz w:val="22"/>
          <w:szCs w:val="22"/>
        </w:rPr>
        <w:t>40.9</w:t>
      </w:r>
      <w:r w:rsidR="00792149">
        <w:rPr>
          <w:sz w:val="22"/>
          <w:szCs w:val="22"/>
        </w:rPr>
        <w:t>%</w:t>
      </w:r>
      <w:r w:rsidR="006D1891">
        <w:rPr>
          <w:sz w:val="22"/>
          <w:szCs w:val="22"/>
        </w:rPr>
        <w:t xml:space="preserve"> </w:t>
      </w:r>
      <w:r w:rsidR="00475D18">
        <w:rPr>
          <w:sz w:val="22"/>
          <w:szCs w:val="22"/>
        </w:rPr>
        <w:t>in new bonds lodged that were affordable to lower income households and consequently</w:t>
      </w:r>
      <w:r w:rsidR="007065F9">
        <w:rPr>
          <w:sz w:val="22"/>
          <w:szCs w:val="22"/>
        </w:rPr>
        <w:t xml:space="preserve"> loss</w:t>
      </w:r>
      <w:r w:rsidR="00475D18">
        <w:rPr>
          <w:sz w:val="22"/>
          <w:szCs w:val="22"/>
        </w:rPr>
        <w:t xml:space="preserve"> </w:t>
      </w:r>
      <w:r w:rsidR="006D1891">
        <w:rPr>
          <w:sz w:val="22"/>
          <w:szCs w:val="22"/>
        </w:rPr>
        <w:t xml:space="preserve">of affordable </w:t>
      </w:r>
      <w:r w:rsidR="00475D18">
        <w:rPr>
          <w:sz w:val="22"/>
          <w:szCs w:val="22"/>
        </w:rPr>
        <w:t xml:space="preserve">private rental </w:t>
      </w:r>
      <w:r w:rsidR="006D1891">
        <w:rPr>
          <w:sz w:val="22"/>
          <w:szCs w:val="22"/>
        </w:rPr>
        <w:t>stock</w:t>
      </w:r>
      <w:r w:rsidR="00E1656E" w:rsidRPr="00EC3534">
        <w:rPr>
          <w:sz w:val="22"/>
          <w:szCs w:val="22"/>
        </w:rPr>
        <w:t xml:space="preserve">.   </w:t>
      </w:r>
    </w:p>
    <w:p w14:paraId="67FA3F20" w14:textId="77777777" w:rsidR="00E1656E" w:rsidRPr="005A20CD" w:rsidRDefault="00E1656E" w:rsidP="00BE1D4B">
      <w:pPr>
        <w:numPr>
          <w:ilvl w:val="0"/>
          <w:numId w:val="5"/>
        </w:numPr>
        <w:spacing w:before="0" w:after="0"/>
        <w:jc w:val="both"/>
        <w:rPr>
          <w:b/>
          <w:sz w:val="20"/>
          <w:szCs w:val="20"/>
        </w:rPr>
      </w:pPr>
      <w:r w:rsidRPr="003B6984">
        <w:rPr>
          <w:sz w:val="22"/>
          <w:szCs w:val="22"/>
        </w:rPr>
        <w:t xml:space="preserve">The table below shows the number of </w:t>
      </w:r>
      <w:r w:rsidR="00956100">
        <w:rPr>
          <w:sz w:val="22"/>
          <w:szCs w:val="22"/>
        </w:rPr>
        <w:t xml:space="preserve">new </w:t>
      </w:r>
      <w:r w:rsidRPr="003B6984">
        <w:rPr>
          <w:sz w:val="22"/>
          <w:szCs w:val="22"/>
        </w:rPr>
        <w:t xml:space="preserve">bonds lodged that were affordable to low income households </w:t>
      </w:r>
      <w:r w:rsidR="003B6984" w:rsidRPr="003B6984">
        <w:rPr>
          <w:sz w:val="22"/>
          <w:szCs w:val="22"/>
        </w:rPr>
        <w:t xml:space="preserve">(including very low income households) </w:t>
      </w:r>
      <w:r w:rsidRPr="003B6984">
        <w:rPr>
          <w:sz w:val="22"/>
          <w:szCs w:val="22"/>
        </w:rPr>
        <w:t>in 2017</w:t>
      </w:r>
      <w:r w:rsidR="001E5759">
        <w:rPr>
          <w:sz w:val="22"/>
          <w:szCs w:val="22"/>
        </w:rPr>
        <w:t>, 2021 and 2022</w:t>
      </w:r>
      <w:r w:rsidRPr="003B6984">
        <w:rPr>
          <w:sz w:val="22"/>
          <w:szCs w:val="22"/>
        </w:rPr>
        <w:t xml:space="preserve"> in</w:t>
      </w:r>
      <w:r w:rsidR="00792149">
        <w:rPr>
          <w:sz w:val="22"/>
          <w:szCs w:val="22"/>
        </w:rPr>
        <w:t xml:space="preserve"> each of the </w:t>
      </w:r>
      <w:r w:rsidR="00025DFD">
        <w:rPr>
          <w:sz w:val="22"/>
          <w:szCs w:val="22"/>
        </w:rPr>
        <w:t xml:space="preserve">South and East Tablelands </w:t>
      </w:r>
      <w:r w:rsidR="00792149">
        <w:rPr>
          <w:sz w:val="22"/>
          <w:szCs w:val="22"/>
        </w:rPr>
        <w:t>LGAs as well as the total for the Region</w:t>
      </w:r>
      <w:r w:rsidRPr="003B6984">
        <w:rPr>
          <w:sz w:val="22"/>
          <w:szCs w:val="22"/>
        </w:rPr>
        <w:t>.</w:t>
      </w:r>
    </w:p>
    <w:p w14:paraId="0654A0BF" w14:textId="7A55E0F5" w:rsidR="007065F9" w:rsidRPr="007065F9" w:rsidRDefault="005A20CD" w:rsidP="00BE1D4B">
      <w:pPr>
        <w:numPr>
          <w:ilvl w:val="0"/>
          <w:numId w:val="5"/>
        </w:numPr>
        <w:spacing w:before="0" w:after="0"/>
        <w:jc w:val="both"/>
        <w:rPr>
          <w:sz w:val="20"/>
          <w:szCs w:val="20"/>
        </w:rPr>
      </w:pPr>
      <w:r>
        <w:rPr>
          <w:sz w:val="22"/>
          <w:szCs w:val="22"/>
        </w:rPr>
        <w:t>It is clear from th</w:t>
      </w:r>
      <w:r w:rsidRPr="005A20CD">
        <w:rPr>
          <w:sz w:val="22"/>
          <w:szCs w:val="22"/>
        </w:rPr>
        <w:t xml:space="preserve">e table that </w:t>
      </w:r>
      <w:r w:rsidR="007065F9">
        <w:rPr>
          <w:sz w:val="22"/>
          <w:szCs w:val="22"/>
        </w:rPr>
        <w:t xml:space="preserve">Yass Valley (-64.1%) and Eurobodalla (-57.3%) experienced the greatest proportional decline in stock, while numerically </w:t>
      </w:r>
      <w:r w:rsidR="00D82AB0">
        <w:rPr>
          <w:sz w:val="22"/>
          <w:szCs w:val="22"/>
        </w:rPr>
        <w:t xml:space="preserve">the </w:t>
      </w:r>
      <w:r w:rsidR="007065F9">
        <w:rPr>
          <w:sz w:val="22"/>
          <w:szCs w:val="22"/>
        </w:rPr>
        <w:t>largest losses occurred in Eurobodalla (-118) and Queanbeyan-</w:t>
      </w:r>
      <w:proofErr w:type="spellStart"/>
      <w:r w:rsidR="007065F9">
        <w:rPr>
          <w:sz w:val="22"/>
          <w:szCs w:val="22"/>
        </w:rPr>
        <w:t>Palerang</w:t>
      </w:r>
      <w:proofErr w:type="spellEnd"/>
      <w:r w:rsidR="007065F9">
        <w:rPr>
          <w:sz w:val="22"/>
          <w:szCs w:val="22"/>
        </w:rPr>
        <w:t xml:space="preserve"> (-86). Note that </w:t>
      </w:r>
      <w:r w:rsidR="007065F9">
        <w:rPr>
          <w:sz w:val="22"/>
          <w:szCs w:val="22"/>
        </w:rPr>
        <w:lastRenderedPageBreak/>
        <w:t xml:space="preserve">Yass Valley had only 14 new bonds lodged which were affordable to low income households at 2022 and Upper Lachlan had too few bonds lodged </w:t>
      </w:r>
      <w:r w:rsidR="00B62525">
        <w:rPr>
          <w:sz w:val="22"/>
          <w:szCs w:val="22"/>
        </w:rPr>
        <w:t>to enable</w:t>
      </w:r>
      <w:r w:rsidR="007065F9">
        <w:rPr>
          <w:sz w:val="22"/>
          <w:szCs w:val="22"/>
        </w:rPr>
        <w:t xml:space="preserve"> the calculation</w:t>
      </w:r>
      <w:r w:rsidR="00B62525">
        <w:rPr>
          <w:sz w:val="22"/>
          <w:szCs w:val="22"/>
        </w:rPr>
        <w:t xml:space="preserve"> to be made</w:t>
      </w:r>
      <w:r w:rsidR="007065F9">
        <w:rPr>
          <w:sz w:val="22"/>
          <w:szCs w:val="22"/>
        </w:rPr>
        <w:t>.  It would be very difficult for lower income households to find affordable rental accommodation, particularly in these two local government areas.</w:t>
      </w:r>
    </w:p>
    <w:p w14:paraId="77A764FF" w14:textId="77777777" w:rsidR="00691AEC" w:rsidRDefault="00691AEC" w:rsidP="00691AEC">
      <w:pPr>
        <w:spacing w:before="0" w:after="0"/>
        <w:jc w:val="both"/>
        <w:rPr>
          <w:sz w:val="20"/>
          <w:szCs w:val="20"/>
        </w:rPr>
      </w:pPr>
    </w:p>
    <w:p w14:paraId="6BDA91E1" w14:textId="77777777" w:rsidR="00025DFD" w:rsidRDefault="00025DFD" w:rsidP="00691AEC">
      <w:pPr>
        <w:spacing w:before="0" w:after="0"/>
        <w:jc w:val="both"/>
        <w:rPr>
          <w:sz w:val="20"/>
          <w:szCs w:val="20"/>
        </w:rPr>
      </w:pPr>
    </w:p>
    <w:p w14:paraId="24330C5A" w14:textId="3386B6B9" w:rsidR="00025DFD" w:rsidRDefault="00AF70A3" w:rsidP="00691AEC">
      <w:pPr>
        <w:spacing w:before="0" w:after="0"/>
        <w:jc w:val="both"/>
        <w:rPr>
          <w:sz w:val="20"/>
          <w:szCs w:val="20"/>
        </w:rPr>
      </w:pPr>
      <w:r>
        <w:rPr>
          <w:sz w:val="22"/>
          <w:szCs w:val="22"/>
        </w:rPr>
        <w:t>Number of affordable rental properties (new bonds lodged) affordable to low income households</w:t>
      </w:r>
    </w:p>
    <w:p w14:paraId="556DA69F" w14:textId="77777777" w:rsidR="00025DFD" w:rsidRDefault="00475D18" w:rsidP="00691AEC">
      <w:pPr>
        <w:spacing w:before="0" w:after="0"/>
        <w:jc w:val="both"/>
        <w:rPr>
          <w:sz w:val="20"/>
          <w:szCs w:val="20"/>
        </w:rPr>
      </w:pPr>
      <w:r w:rsidRPr="00475D18">
        <w:rPr>
          <w:noProof/>
        </w:rPr>
        <w:drawing>
          <wp:inline distT="0" distB="0" distL="0" distR="0" wp14:anchorId="37D48752" wp14:editId="6F581719">
            <wp:extent cx="4227830" cy="286194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7830" cy="2861945"/>
                    </a:xfrm>
                    <a:prstGeom prst="rect">
                      <a:avLst/>
                    </a:prstGeom>
                    <a:noFill/>
                    <a:ln>
                      <a:noFill/>
                    </a:ln>
                  </pic:spPr>
                </pic:pic>
              </a:graphicData>
            </a:graphic>
          </wp:inline>
        </w:drawing>
      </w:r>
    </w:p>
    <w:p w14:paraId="49401AD3" w14:textId="77777777" w:rsidR="005A20CD" w:rsidRPr="005A20CD" w:rsidRDefault="005A20CD" w:rsidP="00BE1D4B">
      <w:pPr>
        <w:pStyle w:val="ListParagraph"/>
        <w:numPr>
          <w:ilvl w:val="0"/>
          <w:numId w:val="12"/>
        </w:numPr>
        <w:jc w:val="both"/>
        <w:rPr>
          <w:sz w:val="20"/>
          <w:szCs w:val="20"/>
        </w:rPr>
      </w:pPr>
      <w:r w:rsidRPr="005A20CD">
        <w:rPr>
          <w:sz w:val="22"/>
          <w:szCs w:val="22"/>
        </w:rPr>
        <w:t>These are significant</w:t>
      </w:r>
      <w:r>
        <w:rPr>
          <w:sz w:val="22"/>
          <w:szCs w:val="22"/>
        </w:rPr>
        <w:t xml:space="preserve"> losses and</w:t>
      </w:r>
      <w:r w:rsidR="00B23631">
        <w:rPr>
          <w:sz w:val="22"/>
          <w:szCs w:val="22"/>
        </w:rPr>
        <w:t xml:space="preserve"> together with the increase in the number of low income rental households and lower income rental households in housing stress, demonstrates the need for provision</w:t>
      </w:r>
      <w:r w:rsidR="00D61FDD">
        <w:rPr>
          <w:sz w:val="22"/>
          <w:szCs w:val="22"/>
        </w:rPr>
        <w:t xml:space="preserve"> of affordable rental housing</w:t>
      </w:r>
      <w:r>
        <w:rPr>
          <w:sz w:val="22"/>
          <w:szCs w:val="22"/>
        </w:rPr>
        <w:t>.</w:t>
      </w:r>
    </w:p>
    <w:p w14:paraId="3B51F009" w14:textId="77777777" w:rsidR="00E1656E" w:rsidRDefault="00E1656E" w:rsidP="00E1656E">
      <w:pPr>
        <w:jc w:val="both"/>
        <w:rPr>
          <w:sz w:val="20"/>
          <w:szCs w:val="20"/>
          <w:highlight w:val="yellow"/>
        </w:rPr>
      </w:pPr>
    </w:p>
    <w:p w14:paraId="51726BE0" w14:textId="77777777" w:rsidR="00F22079" w:rsidRPr="007710BF" w:rsidRDefault="00F22079" w:rsidP="00E1656E">
      <w:pPr>
        <w:jc w:val="both"/>
        <w:rPr>
          <w:sz w:val="20"/>
          <w:szCs w:val="20"/>
          <w:highlight w:val="yellow"/>
        </w:rPr>
      </w:pPr>
    </w:p>
    <w:p w14:paraId="2DA14BB7" w14:textId="77777777" w:rsidR="00E1656E" w:rsidRPr="00FC4560" w:rsidRDefault="00E1656E" w:rsidP="00E1656E">
      <w:pPr>
        <w:pStyle w:val="Heading1"/>
        <w:jc w:val="both"/>
        <w:rPr>
          <w:b/>
          <w:i/>
          <w:iCs/>
          <w:color w:val="008000"/>
          <w:kern w:val="0"/>
          <w:sz w:val="32"/>
        </w:rPr>
      </w:pPr>
      <w:r w:rsidRPr="00FC4560">
        <w:rPr>
          <w:b/>
          <w:i/>
          <w:iCs/>
          <w:color w:val="008000"/>
          <w:kern w:val="0"/>
          <w:sz w:val="32"/>
        </w:rPr>
        <w:t>Housing Market - Purchase</w:t>
      </w:r>
    </w:p>
    <w:p w14:paraId="1FE26F11" w14:textId="77777777" w:rsidR="00E1656E" w:rsidRPr="00670593" w:rsidRDefault="00E1656E" w:rsidP="00E1656E">
      <w:pPr>
        <w:jc w:val="both"/>
        <w:rPr>
          <w:sz w:val="20"/>
          <w:szCs w:val="20"/>
        </w:rPr>
      </w:pPr>
    </w:p>
    <w:p w14:paraId="4CCBB2DF" w14:textId="77777777" w:rsidR="00E1656E" w:rsidRDefault="00E1656E" w:rsidP="00E1656E">
      <w:pPr>
        <w:jc w:val="both"/>
        <w:rPr>
          <w:sz w:val="20"/>
          <w:szCs w:val="20"/>
        </w:rPr>
      </w:pPr>
      <w:r w:rsidRPr="003C6C13">
        <w:rPr>
          <w:b/>
          <w:color w:val="008000"/>
          <w:sz w:val="32"/>
        </w:rPr>
        <w:t>Sales Price</w:t>
      </w:r>
    </w:p>
    <w:p w14:paraId="3D99EABB" w14:textId="77777777" w:rsidR="00AB080E" w:rsidRPr="00885A40" w:rsidRDefault="009D4C8B" w:rsidP="00AB080E">
      <w:pPr>
        <w:numPr>
          <w:ilvl w:val="0"/>
          <w:numId w:val="11"/>
        </w:numPr>
        <w:spacing w:before="0" w:after="0"/>
        <w:rPr>
          <w:sz w:val="22"/>
          <w:szCs w:val="22"/>
        </w:rPr>
      </w:pPr>
      <w:r>
        <w:rPr>
          <w:sz w:val="22"/>
          <w:szCs w:val="22"/>
        </w:rPr>
        <w:t xml:space="preserve">The trend </w:t>
      </w:r>
      <w:r w:rsidR="00AB080E" w:rsidRPr="00885A40">
        <w:rPr>
          <w:sz w:val="22"/>
          <w:szCs w:val="22"/>
        </w:rPr>
        <w:t>in the median sales price of both houses and flats over the ten years to March 2022</w:t>
      </w:r>
      <w:r>
        <w:rPr>
          <w:sz w:val="22"/>
          <w:szCs w:val="22"/>
        </w:rPr>
        <w:t xml:space="preserve"> has shown variation but has overall been </w:t>
      </w:r>
      <w:r w:rsidR="00AB080E" w:rsidRPr="00885A40">
        <w:rPr>
          <w:sz w:val="22"/>
          <w:szCs w:val="22"/>
        </w:rPr>
        <w:t xml:space="preserve">upward.  </w:t>
      </w:r>
    </w:p>
    <w:p w14:paraId="54CED9FB" w14:textId="0C61119D" w:rsidR="009D4C8B" w:rsidRDefault="009D4C8B" w:rsidP="00AB080E">
      <w:pPr>
        <w:numPr>
          <w:ilvl w:val="0"/>
          <w:numId w:val="11"/>
        </w:numPr>
        <w:spacing w:before="0" w:after="0"/>
        <w:rPr>
          <w:sz w:val="22"/>
          <w:szCs w:val="22"/>
        </w:rPr>
      </w:pPr>
      <w:r>
        <w:rPr>
          <w:sz w:val="22"/>
          <w:szCs w:val="22"/>
        </w:rPr>
        <w:t xml:space="preserve">Due to Council amalgamations over the intervening period, there is no comparative data for Hilltops, Queanbeyan </w:t>
      </w:r>
      <w:proofErr w:type="spellStart"/>
      <w:r>
        <w:rPr>
          <w:sz w:val="22"/>
          <w:szCs w:val="22"/>
        </w:rPr>
        <w:t>Palerang</w:t>
      </w:r>
      <w:proofErr w:type="spellEnd"/>
      <w:r>
        <w:rPr>
          <w:sz w:val="22"/>
          <w:szCs w:val="22"/>
        </w:rPr>
        <w:t xml:space="preserve"> and Snowy </w:t>
      </w:r>
      <w:r w:rsidR="004A6608">
        <w:rPr>
          <w:sz w:val="22"/>
          <w:szCs w:val="22"/>
        </w:rPr>
        <w:t>Monar</w:t>
      </w:r>
      <w:r w:rsidR="00B62525">
        <w:rPr>
          <w:sz w:val="22"/>
          <w:szCs w:val="22"/>
        </w:rPr>
        <w:t xml:space="preserve">o </w:t>
      </w:r>
      <w:r>
        <w:rPr>
          <w:sz w:val="22"/>
          <w:szCs w:val="22"/>
        </w:rPr>
        <w:t xml:space="preserve">Regional.  For the remaining LGAs </w:t>
      </w:r>
      <w:proofErr w:type="spellStart"/>
      <w:r>
        <w:rPr>
          <w:sz w:val="22"/>
          <w:szCs w:val="22"/>
        </w:rPr>
        <w:t>Wingecarribee</w:t>
      </w:r>
      <w:proofErr w:type="spellEnd"/>
      <w:r>
        <w:rPr>
          <w:sz w:val="22"/>
          <w:szCs w:val="22"/>
        </w:rPr>
        <w:t xml:space="preserve"> (74.8%) and Bega Valley (73.4%) had the strongest increases in median </w:t>
      </w:r>
      <w:r w:rsidR="00830CEA">
        <w:rPr>
          <w:sz w:val="22"/>
          <w:szCs w:val="22"/>
        </w:rPr>
        <w:t xml:space="preserve">sales price </w:t>
      </w:r>
      <w:r>
        <w:rPr>
          <w:sz w:val="22"/>
          <w:szCs w:val="22"/>
        </w:rPr>
        <w:t>for houses between March 2012 and March 2022.</w:t>
      </w:r>
    </w:p>
    <w:p w14:paraId="1E8D480E" w14:textId="77777777" w:rsidR="009D4C8B" w:rsidRDefault="00AB080E" w:rsidP="00AB080E">
      <w:pPr>
        <w:numPr>
          <w:ilvl w:val="0"/>
          <w:numId w:val="11"/>
        </w:numPr>
        <w:spacing w:before="0" w:after="0"/>
        <w:rPr>
          <w:sz w:val="22"/>
          <w:szCs w:val="22"/>
        </w:rPr>
      </w:pPr>
      <w:r w:rsidRPr="00885A40">
        <w:rPr>
          <w:sz w:val="22"/>
          <w:szCs w:val="22"/>
        </w:rPr>
        <w:t xml:space="preserve">For strata properties, </w:t>
      </w:r>
      <w:r w:rsidR="009D4C8B">
        <w:rPr>
          <w:sz w:val="22"/>
          <w:szCs w:val="22"/>
        </w:rPr>
        <w:t xml:space="preserve">data </w:t>
      </w:r>
      <w:r w:rsidR="00DE12FD">
        <w:rPr>
          <w:sz w:val="22"/>
          <w:szCs w:val="22"/>
        </w:rPr>
        <w:t>was only available for Bega Valley and Eurobodalla which both experienced robust increases (98.2% and 122.8% respectively) over the same time frame.</w:t>
      </w:r>
    </w:p>
    <w:p w14:paraId="2D11FAB5" w14:textId="77777777" w:rsidR="00AB080E" w:rsidRPr="00885A40" w:rsidRDefault="00AB080E" w:rsidP="00AB080E">
      <w:pPr>
        <w:numPr>
          <w:ilvl w:val="0"/>
          <w:numId w:val="11"/>
        </w:numPr>
        <w:spacing w:before="0" w:after="0"/>
        <w:rPr>
          <w:sz w:val="22"/>
          <w:szCs w:val="22"/>
        </w:rPr>
      </w:pPr>
      <w:r w:rsidRPr="00885A40">
        <w:rPr>
          <w:sz w:val="22"/>
          <w:szCs w:val="22"/>
        </w:rPr>
        <w:lastRenderedPageBreak/>
        <w:t>At March 20</w:t>
      </w:r>
      <w:r>
        <w:rPr>
          <w:sz w:val="22"/>
          <w:szCs w:val="22"/>
        </w:rPr>
        <w:t>22</w:t>
      </w:r>
      <w:r w:rsidRPr="00885A40">
        <w:rPr>
          <w:sz w:val="22"/>
          <w:szCs w:val="22"/>
        </w:rPr>
        <w:t xml:space="preserve">, </w:t>
      </w:r>
      <w:proofErr w:type="spellStart"/>
      <w:r w:rsidR="00DE12FD">
        <w:rPr>
          <w:sz w:val="22"/>
          <w:szCs w:val="22"/>
        </w:rPr>
        <w:t>Wingecarribee</w:t>
      </w:r>
      <w:proofErr w:type="spellEnd"/>
      <w:r w:rsidR="00DE12FD">
        <w:rPr>
          <w:sz w:val="22"/>
          <w:szCs w:val="22"/>
        </w:rPr>
        <w:t xml:space="preserve"> </w:t>
      </w:r>
      <w:r w:rsidRPr="00885A40">
        <w:rPr>
          <w:sz w:val="22"/>
          <w:szCs w:val="22"/>
        </w:rPr>
        <w:t>had the highest median sales price for houses with $</w:t>
      </w:r>
      <w:r w:rsidR="00DE12FD">
        <w:rPr>
          <w:sz w:val="22"/>
          <w:szCs w:val="22"/>
        </w:rPr>
        <w:t>1,433,000</w:t>
      </w:r>
      <w:r w:rsidRPr="00885A40">
        <w:rPr>
          <w:sz w:val="22"/>
          <w:szCs w:val="22"/>
        </w:rPr>
        <w:t xml:space="preserve">, followed by </w:t>
      </w:r>
      <w:r w:rsidR="00DE12FD">
        <w:rPr>
          <w:sz w:val="22"/>
          <w:szCs w:val="22"/>
        </w:rPr>
        <w:t xml:space="preserve">Queanbeyan </w:t>
      </w:r>
      <w:proofErr w:type="spellStart"/>
      <w:r w:rsidR="00DE12FD">
        <w:rPr>
          <w:sz w:val="22"/>
          <w:szCs w:val="22"/>
        </w:rPr>
        <w:t>Palerang</w:t>
      </w:r>
      <w:proofErr w:type="spellEnd"/>
      <w:r w:rsidR="00DE12FD">
        <w:rPr>
          <w:sz w:val="22"/>
          <w:szCs w:val="22"/>
        </w:rPr>
        <w:t xml:space="preserve"> with </w:t>
      </w:r>
      <w:r w:rsidRPr="00885A40">
        <w:rPr>
          <w:sz w:val="22"/>
          <w:szCs w:val="22"/>
        </w:rPr>
        <w:t>$1,</w:t>
      </w:r>
      <w:r w:rsidR="00DE12FD">
        <w:rPr>
          <w:sz w:val="22"/>
          <w:szCs w:val="22"/>
        </w:rPr>
        <w:t xml:space="preserve">043,000 and </w:t>
      </w:r>
      <w:r w:rsidRPr="00885A40">
        <w:rPr>
          <w:sz w:val="22"/>
          <w:szCs w:val="22"/>
        </w:rPr>
        <w:t>$</w:t>
      </w:r>
      <w:r w:rsidR="00DE12FD">
        <w:rPr>
          <w:sz w:val="22"/>
          <w:szCs w:val="22"/>
        </w:rPr>
        <w:t>918</w:t>
      </w:r>
      <w:r w:rsidRPr="00885A40">
        <w:rPr>
          <w:sz w:val="22"/>
          <w:szCs w:val="22"/>
        </w:rPr>
        <w:t xml:space="preserve">,000 in </w:t>
      </w:r>
      <w:r w:rsidR="00DE12FD">
        <w:rPr>
          <w:sz w:val="22"/>
          <w:szCs w:val="22"/>
        </w:rPr>
        <w:t>Yass Valley</w:t>
      </w:r>
      <w:r w:rsidRPr="00885A40">
        <w:rPr>
          <w:sz w:val="22"/>
          <w:szCs w:val="22"/>
        </w:rPr>
        <w:t xml:space="preserve">.  </w:t>
      </w:r>
      <w:r w:rsidR="00DE12FD">
        <w:rPr>
          <w:sz w:val="22"/>
          <w:szCs w:val="22"/>
        </w:rPr>
        <w:t>Eurobodalla</w:t>
      </w:r>
      <w:r w:rsidRPr="00885A40">
        <w:rPr>
          <w:sz w:val="22"/>
          <w:szCs w:val="22"/>
        </w:rPr>
        <w:t xml:space="preserve"> had the highest median sales price for flats at March 2022 with $</w:t>
      </w:r>
      <w:r w:rsidR="00DE12FD">
        <w:rPr>
          <w:sz w:val="22"/>
          <w:szCs w:val="22"/>
        </w:rPr>
        <w:t>571</w:t>
      </w:r>
      <w:r w:rsidRPr="00885A40">
        <w:rPr>
          <w:sz w:val="22"/>
          <w:szCs w:val="22"/>
        </w:rPr>
        <w:t xml:space="preserve">,000, followed by </w:t>
      </w:r>
      <w:r w:rsidR="00DE12FD">
        <w:rPr>
          <w:sz w:val="22"/>
          <w:szCs w:val="22"/>
        </w:rPr>
        <w:t xml:space="preserve">Bega Valley </w:t>
      </w:r>
      <w:r w:rsidRPr="00885A40">
        <w:rPr>
          <w:sz w:val="22"/>
          <w:szCs w:val="22"/>
        </w:rPr>
        <w:t>with $</w:t>
      </w:r>
      <w:r w:rsidR="00DE12FD">
        <w:rPr>
          <w:sz w:val="22"/>
          <w:szCs w:val="22"/>
        </w:rPr>
        <w:t>545</w:t>
      </w:r>
      <w:r w:rsidRPr="00885A40">
        <w:rPr>
          <w:sz w:val="22"/>
          <w:szCs w:val="22"/>
        </w:rPr>
        <w:t>,000.</w:t>
      </w:r>
    </w:p>
    <w:p w14:paraId="25CBBF62" w14:textId="77777777" w:rsidR="00AB080E" w:rsidRPr="00885A40" w:rsidRDefault="00AB080E" w:rsidP="00AB080E">
      <w:pPr>
        <w:numPr>
          <w:ilvl w:val="0"/>
          <w:numId w:val="11"/>
        </w:numPr>
        <w:spacing w:before="0" w:after="0"/>
        <w:rPr>
          <w:sz w:val="22"/>
          <w:szCs w:val="22"/>
        </w:rPr>
      </w:pPr>
      <w:r w:rsidRPr="00885A40">
        <w:rPr>
          <w:sz w:val="22"/>
          <w:szCs w:val="22"/>
        </w:rPr>
        <w:t xml:space="preserve">The table below shows changes in the median sales price of both houses and flats over the last ten years in the </w:t>
      </w:r>
      <w:r w:rsidR="009E03C1">
        <w:rPr>
          <w:sz w:val="22"/>
          <w:szCs w:val="22"/>
        </w:rPr>
        <w:t xml:space="preserve">South and East Tablelands </w:t>
      </w:r>
      <w:r w:rsidRPr="00885A40">
        <w:rPr>
          <w:sz w:val="22"/>
          <w:szCs w:val="22"/>
        </w:rPr>
        <w:t>region.</w:t>
      </w:r>
    </w:p>
    <w:p w14:paraId="1FB9330B" w14:textId="77777777" w:rsidR="00B35935" w:rsidRDefault="00B35935" w:rsidP="00B35935">
      <w:pPr>
        <w:jc w:val="both"/>
        <w:rPr>
          <w:sz w:val="22"/>
          <w:szCs w:val="22"/>
        </w:rPr>
      </w:pPr>
      <w:r w:rsidRPr="00B35935">
        <w:rPr>
          <w:noProof/>
        </w:rPr>
        <w:drawing>
          <wp:inline distT="0" distB="0" distL="0" distR="0" wp14:anchorId="217B10C5" wp14:editId="093F249F">
            <wp:extent cx="5274310" cy="1929839"/>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1929839"/>
                    </a:xfrm>
                    <a:prstGeom prst="rect">
                      <a:avLst/>
                    </a:prstGeom>
                    <a:noFill/>
                    <a:ln>
                      <a:noFill/>
                    </a:ln>
                  </pic:spPr>
                </pic:pic>
              </a:graphicData>
            </a:graphic>
          </wp:inline>
        </w:drawing>
      </w:r>
    </w:p>
    <w:p w14:paraId="1EE7E485" w14:textId="77777777" w:rsidR="009E03C1" w:rsidRPr="009E03C1" w:rsidRDefault="009E03C1" w:rsidP="009E03C1">
      <w:pPr>
        <w:pStyle w:val="ListParagraph"/>
        <w:ind w:left="360"/>
        <w:rPr>
          <w:sz w:val="20"/>
          <w:szCs w:val="20"/>
        </w:rPr>
      </w:pPr>
    </w:p>
    <w:p w14:paraId="41368CA5" w14:textId="77777777" w:rsidR="009E03C1" w:rsidRPr="00EC1F46" w:rsidRDefault="009E03C1" w:rsidP="009E03C1">
      <w:pPr>
        <w:pStyle w:val="ListParagraph"/>
        <w:numPr>
          <w:ilvl w:val="0"/>
          <w:numId w:val="21"/>
        </w:numPr>
        <w:rPr>
          <w:sz w:val="20"/>
          <w:szCs w:val="20"/>
        </w:rPr>
      </w:pPr>
      <w:r>
        <w:rPr>
          <w:sz w:val="22"/>
          <w:szCs w:val="22"/>
        </w:rPr>
        <w:t>However, between 2019 and 2022 there were clear impacts from Covid, creating  more complex changes in the market, as the table below demonstrates.</w:t>
      </w:r>
    </w:p>
    <w:p w14:paraId="64BE76F9" w14:textId="77777777" w:rsidR="009E03C1" w:rsidRPr="00EC1F46" w:rsidRDefault="009E03C1" w:rsidP="009E03C1">
      <w:pPr>
        <w:pStyle w:val="ListParagraph"/>
        <w:numPr>
          <w:ilvl w:val="0"/>
          <w:numId w:val="21"/>
        </w:numPr>
        <w:rPr>
          <w:sz w:val="20"/>
          <w:szCs w:val="20"/>
        </w:rPr>
      </w:pPr>
      <w:r>
        <w:rPr>
          <w:sz w:val="22"/>
          <w:szCs w:val="22"/>
        </w:rPr>
        <w:t>Between March 2019 and 2020 median house and strata prices experienced relatively low growth</w:t>
      </w:r>
      <w:r w:rsidR="004A6608">
        <w:rPr>
          <w:sz w:val="22"/>
          <w:szCs w:val="22"/>
        </w:rPr>
        <w:t xml:space="preserve"> in most LGAs in the region</w:t>
      </w:r>
      <w:r>
        <w:rPr>
          <w:sz w:val="22"/>
          <w:szCs w:val="22"/>
        </w:rPr>
        <w:t xml:space="preserve">, with </w:t>
      </w:r>
      <w:r w:rsidR="004A6608">
        <w:rPr>
          <w:sz w:val="22"/>
          <w:szCs w:val="22"/>
        </w:rPr>
        <w:t xml:space="preserve">Snowy Monaro Regional </w:t>
      </w:r>
      <w:r>
        <w:rPr>
          <w:sz w:val="22"/>
          <w:szCs w:val="22"/>
        </w:rPr>
        <w:t xml:space="preserve">actually seeing a fall in median house prices over that year.  </w:t>
      </w:r>
      <w:r w:rsidR="004A6608">
        <w:rPr>
          <w:sz w:val="22"/>
          <w:szCs w:val="22"/>
        </w:rPr>
        <w:t>Changes in the median sales price for houses ranged between -4.5</w:t>
      </w:r>
      <w:r>
        <w:rPr>
          <w:sz w:val="22"/>
          <w:szCs w:val="22"/>
        </w:rPr>
        <w:t xml:space="preserve">% in </w:t>
      </w:r>
      <w:r w:rsidR="004A6608">
        <w:rPr>
          <w:sz w:val="22"/>
          <w:szCs w:val="22"/>
        </w:rPr>
        <w:t xml:space="preserve">Snowy Monaro Regional </w:t>
      </w:r>
      <w:r>
        <w:rPr>
          <w:sz w:val="22"/>
          <w:szCs w:val="22"/>
        </w:rPr>
        <w:t>and 1</w:t>
      </w:r>
      <w:r w:rsidR="004A6608">
        <w:rPr>
          <w:sz w:val="22"/>
          <w:szCs w:val="22"/>
        </w:rPr>
        <w:t>1.8</w:t>
      </w:r>
      <w:r>
        <w:rPr>
          <w:sz w:val="22"/>
          <w:szCs w:val="22"/>
        </w:rPr>
        <w:t>% in</w:t>
      </w:r>
      <w:r w:rsidR="004A6608">
        <w:rPr>
          <w:sz w:val="22"/>
          <w:szCs w:val="22"/>
        </w:rPr>
        <w:t xml:space="preserve"> Hilltops</w:t>
      </w:r>
      <w:r w:rsidR="007961C0">
        <w:rPr>
          <w:sz w:val="22"/>
          <w:szCs w:val="22"/>
        </w:rPr>
        <w:t>, with the largest increase in dollar terms being $54,000 in Yass Valley</w:t>
      </w:r>
      <w:r>
        <w:rPr>
          <w:sz w:val="22"/>
          <w:szCs w:val="22"/>
        </w:rPr>
        <w:t>.</w:t>
      </w:r>
    </w:p>
    <w:p w14:paraId="79E710E9" w14:textId="77777777" w:rsidR="009E03C1" w:rsidRPr="00EC1F46" w:rsidRDefault="009E03C1" w:rsidP="009E03C1">
      <w:pPr>
        <w:pStyle w:val="ListParagraph"/>
        <w:numPr>
          <w:ilvl w:val="0"/>
          <w:numId w:val="21"/>
        </w:numPr>
        <w:rPr>
          <w:sz w:val="20"/>
          <w:szCs w:val="20"/>
        </w:rPr>
      </w:pPr>
      <w:r>
        <w:rPr>
          <w:sz w:val="22"/>
          <w:szCs w:val="22"/>
        </w:rPr>
        <w:t xml:space="preserve">Between March 2021 and March 2022 there was strong growth in median house prices. Increases in the median sales price for houses ranged between </w:t>
      </w:r>
      <w:r w:rsidR="00BA029A">
        <w:rPr>
          <w:sz w:val="22"/>
          <w:szCs w:val="22"/>
        </w:rPr>
        <w:t>41.5</w:t>
      </w:r>
      <w:r>
        <w:rPr>
          <w:sz w:val="22"/>
          <w:szCs w:val="22"/>
        </w:rPr>
        <w:t xml:space="preserve">% in </w:t>
      </w:r>
      <w:r w:rsidR="00BA029A">
        <w:rPr>
          <w:sz w:val="22"/>
          <w:szCs w:val="22"/>
        </w:rPr>
        <w:t xml:space="preserve">Snowy Monaro Regional </w:t>
      </w:r>
      <w:r>
        <w:rPr>
          <w:sz w:val="22"/>
          <w:szCs w:val="22"/>
        </w:rPr>
        <w:t>and 20.</w:t>
      </w:r>
      <w:r w:rsidR="00BA029A">
        <w:rPr>
          <w:sz w:val="22"/>
          <w:szCs w:val="22"/>
        </w:rPr>
        <w:t>5</w:t>
      </w:r>
      <w:r>
        <w:rPr>
          <w:sz w:val="22"/>
          <w:szCs w:val="22"/>
        </w:rPr>
        <w:t xml:space="preserve">% in </w:t>
      </w:r>
      <w:r w:rsidR="00BA029A">
        <w:rPr>
          <w:sz w:val="22"/>
          <w:szCs w:val="22"/>
        </w:rPr>
        <w:t>Yass Valley</w:t>
      </w:r>
      <w:r w:rsidR="007961C0">
        <w:rPr>
          <w:sz w:val="22"/>
          <w:szCs w:val="22"/>
        </w:rPr>
        <w:t xml:space="preserve">, with the biggest increase in dollar terms being the $410,000 increase in the median in </w:t>
      </w:r>
      <w:proofErr w:type="spellStart"/>
      <w:r w:rsidR="007961C0">
        <w:rPr>
          <w:sz w:val="22"/>
          <w:szCs w:val="22"/>
        </w:rPr>
        <w:t>Wingecarribee</w:t>
      </w:r>
      <w:proofErr w:type="spellEnd"/>
      <w:r w:rsidR="007961C0">
        <w:rPr>
          <w:sz w:val="22"/>
          <w:szCs w:val="22"/>
        </w:rPr>
        <w:t xml:space="preserve">. </w:t>
      </w:r>
    </w:p>
    <w:p w14:paraId="53AFBE0C" w14:textId="77777777" w:rsidR="00B35935" w:rsidRDefault="00B35935" w:rsidP="00B35935">
      <w:pPr>
        <w:jc w:val="both"/>
        <w:rPr>
          <w:sz w:val="22"/>
          <w:szCs w:val="22"/>
        </w:rPr>
      </w:pPr>
      <w:r w:rsidRPr="00B35935">
        <w:rPr>
          <w:noProof/>
        </w:rPr>
        <w:drawing>
          <wp:inline distT="0" distB="0" distL="0" distR="0" wp14:anchorId="566C8D13" wp14:editId="1D6CFD47">
            <wp:extent cx="5274310" cy="192983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1929839"/>
                    </a:xfrm>
                    <a:prstGeom prst="rect">
                      <a:avLst/>
                    </a:prstGeom>
                    <a:noFill/>
                    <a:ln>
                      <a:noFill/>
                    </a:ln>
                  </pic:spPr>
                </pic:pic>
              </a:graphicData>
            </a:graphic>
          </wp:inline>
        </w:drawing>
      </w:r>
    </w:p>
    <w:p w14:paraId="5B3AD1CE" w14:textId="77777777" w:rsidR="000831D3" w:rsidRPr="000831D3" w:rsidRDefault="000831D3" w:rsidP="000831D3">
      <w:pPr>
        <w:numPr>
          <w:ilvl w:val="0"/>
          <w:numId w:val="23"/>
        </w:numPr>
        <w:spacing w:before="0" w:after="0"/>
        <w:ind w:left="360"/>
        <w:rPr>
          <w:sz w:val="22"/>
          <w:szCs w:val="22"/>
        </w:rPr>
      </w:pPr>
      <w:r w:rsidRPr="00255D52">
        <w:rPr>
          <w:sz w:val="22"/>
          <w:szCs w:val="22"/>
        </w:rPr>
        <w:t>The long term median sales price trend for houses and flats shows growth across all LGAs</w:t>
      </w:r>
      <w:r>
        <w:rPr>
          <w:sz w:val="22"/>
          <w:szCs w:val="22"/>
        </w:rPr>
        <w:t>.</w:t>
      </w:r>
    </w:p>
    <w:p w14:paraId="7A8FC0CC" w14:textId="77777777" w:rsidR="000831D3" w:rsidRPr="00255D52" w:rsidRDefault="000831D3" w:rsidP="000831D3">
      <w:pPr>
        <w:numPr>
          <w:ilvl w:val="0"/>
          <w:numId w:val="5"/>
        </w:numPr>
        <w:spacing w:before="0" w:after="0"/>
        <w:rPr>
          <w:sz w:val="22"/>
          <w:szCs w:val="22"/>
        </w:rPr>
      </w:pPr>
      <w:r w:rsidRPr="00255D52">
        <w:rPr>
          <w:sz w:val="22"/>
          <w:szCs w:val="22"/>
        </w:rPr>
        <w:t>The two graphs below show the median sales price trend for houses and for st</w:t>
      </w:r>
      <w:r>
        <w:rPr>
          <w:sz w:val="22"/>
          <w:szCs w:val="22"/>
        </w:rPr>
        <w:t>rata properties from 1991 to 2022</w:t>
      </w:r>
      <w:r w:rsidRPr="00255D52">
        <w:rPr>
          <w:sz w:val="22"/>
          <w:szCs w:val="22"/>
        </w:rPr>
        <w:t xml:space="preserve"> in all </w:t>
      </w:r>
      <w:r>
        <w:rPr>
          <w:sz w:val="22"/>
          <w:szCs w:val="22"/>
        </w:rPr>
        <w:t xml:space="preserve">South and East Tablelands </w:t>
      </w:r>
      <w:r w:rsidRPr="00255D52">
        <w:rPr>
          <w:sz w:val="22"/>
          <w:szCs w:val="22"/>
        </w:rPr>
        <w:t xml:space="preserve">LGAs.  It is </w:t>
      </w:r>
      <w:r w:rsidRPr="00255D52">
        <w:rPr>
          <w:sz w:val="22"/>
          <w:szCs w:val="22"/>
        </w:rPr>
        <w:lastRenderedPageBreak/>
        <w:t>clear that the median sales price</w:t>
      </w:r>
      <w:r>
        <w:rPr>
          <w:sz w:val="22"/>
          <w:szCs w:val="22"/>
        </w:rPr>
        <w:t xml:space="preserve"> for houses</w:t>
      </w:r>
      <w:r w:rsidRPr="00255D52">
        <w:rPr>
          <w:sz w:val="22"/>
          <w:szCs w:val="22"/>
        </w:rPr>
        <w:t xml:space="preserve"> are highest in </w:t>
      </w:r>
      <w:proofErr w:type="spellStart"/>
      <w:r>
        <w:rPr>
          <w:sz w:val="22"/>
          <w:szCs w:val="22"/>
        </w:rPr>
        <w:t>Wingecarribee</w:t>
      </w:r>
      <w:proofErr w:type="spellEnd"/>
      <w:r>
        <w:rPr>
          <w:sz w:val="22"/>
          <w:szCs w:val="22"/>
        </w:rPr>
        <w:t xml:space="preserve">, Queanbeyan </w:t>
      </w:r>
      <w:proofErr w:type="spellStart"/>
      <w:r>
        <w:rPr>
          <w:sz w:val="22"/>
          <w:szCs w:val="22"/>
        </w:rPr>
        <w:t>Palerang</w:t>
      </w:r>
      <w:proofErr w:type="spellEnd"/>
      <w:r>
        <w:rPr>
          <w:sz w:val="22"/>
          <w:szCs w:val="22"/>
        </w:rPr>
        <w:t xml:space="preserve"> and Yass Valley. </w:t>
      </w:r>
    </w:p>
    <w:p w14:paraId="0A931721" w14:textId="77777777" w:rsidR="00B35935" w:rsidRDefault="00442561" w:rsidP="000831D3">
      <w:pPr>
        <w:jc w:val="center"/>
        <w:rPr>
          <w:sz w:val="22"/>
          <w:szCs w:val="22"/>
        </w:rPr>
      </w:pPr>
      <w:r>
        <w:rPr>
          <w:noProof/>
          <w:sz w:val="22"/>
          <w:szCs w:val="22"/>
        </w:rPr>
        <w:drawing>
          <wp:inline distT="0" distB="0" distL="0" distR="0" wp14:anchorId="793D4B6E" wp14:editId="3F83B578">
            <wp:extent cx="6059805" cy="30954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8733" cy="3099972"/>
                    </a:xfrm>
                    <a:prstGeom prst="rect">
                      <a:avLst/>
                    </a:prstGeom>
                    <a:noFill/>
                  </pic:spPr>
                </pic:pic>
              </a:graphicData>
            </a:graphic>
          </wp:inline>
        </w:drawing>
      </w:r>
    </w:p>
    <w:p w14:paraId="1ED69763" w14:textId="77777777" w:rsidR="00B35935" w:rsidRDefault="00442561" w:rsidP="00B35935">
      <w:pPr>
        <w:jc w:val="both"/>
        <w:rPr>
          <w:sz w:val="22"/>
          <w:szCs w:val="22"/>
        </w:rPr>
      </w:pPr>
      <w:r>
        <w:rPr>
          <w:noProof/>
          <w:sz w:val="22"/>
          <w:szCs w:val="22"/>
        </w:rPr>
        <w:drawing>
          <wp:inline distT="0" distB="0" distL="0" distR="0" wp14:anchorId="3AD595D6" wp14:editId="2EE1F308">
            <wp:extent cx="6090920" cy="3160355"/>
            <wp:effectExtent l="0" t="0" r="508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4454" cy="3167377"/>
                    </a:xfrm>
                    <a:prstGeom prst="rect">
                      <a:avLst/>
                    </a:prstGeom>
                    <a:noFill/>
                  </pic:spPr>
                </pic:pic>
              </a:graphicData>
            </a:graphic>
          </wp:inline>
        </w:drawing>
      </w:r>
    </w:p>
    <w:p w14:paraId="57FBCE41" w14:textId="77777777" w:rsidR="00691AEC" w:rsidRDefault="00691AEC" w:rsidP="00D927BD">
      <w:pPr>
        <w:jc w:val="both"/>
        <w:rPr>
          <w:sz w:val="22"/>
          <w:szCs w:val="22"/>
        </w:rPr>
      </w:pPr>
    </w:p>
    <w:p w14:paraId="72248520" w14:textId="77777777" w:rsidR="00E1656E" w:rsidRPr="00E1068C" w:rsidRDefault="00E1656E" w:rsidP="00E1656E">
      <w:pPr>
        <w:jc w:val="both"/>
        <w:rPr>
          <w:b/>
          <w:color w:val="008000"/>
          <w:sz w:val="32"/>
        </w:rPr>
      </w:pPr>
      <w:r w:rsidRPr="00E1068C">
        <w:rPr>
          <w:b/>
          <w:color w:val="008000"/>
          <w:sz w:val="32"/>
        </w:rPr>
        <w:t>Purchase Affordability</w:t>
      </w:r>
    </w:p>
    <w:p w14:paraId="7E1423F1" w14:textId="05058ACE" w:rsidR="003B5CDA" w:rsidRDefault="00F2382D" w:rsidP="00BE1D4B">
      <w:pPr>
        <w:numPr>
          <w:ilvl w:val="0"/>
          <w:numId w:val="6"/>
        </w:numPr>
        <w:spacing w:before="0" w:after="0"/>
        <w:jc w:val="both"/>
        <w:rPr>
          <w:sz w:val="22"/>
          <w:szCs w:val="22"/>
        </w:rPr>
      </w:pPr>
      <w:r>
        <w:rPr>
          <w:sz w:val="22"/>
          <w:szCs w:val="22"/>
        </w:rPr>
        <w:t>P</w:t>
      </w:r>
      <w:r w:rsidR="00E1656E" w:rsidRPr="00EC3534">
        <w:rPr>
          <w:sz w:val="22"/>
          <w:szCs w:val="22"/>
        </w:rPr>
        <w:t>urchase affordability for very low income earners has</w:t>
      </w:r>
      <w:r w:rsidR="00A8624C">
        <w:rPr>
          <w:sz w:val="22"/>
          <w:szCs w:val="22"/>
        </w:rPr>
        <w:t xml:space="preserve"> varied over the period from 201</w:t>
      </w:r>
      <w:r w:rsidR="007F4612">
        <w:rPr>
          <w:sz w:val="22"/>
          <w:szCs w:val="22"/>
        </w:rPr>
        <w:t>7</w:t>
      </w:r>
      <w:r w:rsidR="00A8624C">
        <w:rPr>
          <w:sz w:val="22"/>
          <w:szCs w:val="22"/>
        </w:rPr>
        <w:t xml:space="preserve"> to 2021</w:t>
      </w:r>
      <w:r w:rsidR="003B5CDA">
        <w:rPr>
          <w:sz w:val="22"/>
          <w:szCs w:val="22"/>
        </w:rPr>
        <w:t>.</w:t>
      </w:r>
    </w:p>
    <w:p w14:paraId="65B3D68D" w14:textId="77777777" w:rsidR="002912B0" w:rsidRPr="003B5CDA" w:rsidRDefault="003B5CDA" w:rsidP="00835A6B">
      <w:pPr>
        <w:numPr>
          <w:ilvl w:val="0"/>
          <w:numId w:val="6"/>
        </w:numPr>
        <w:spacing w:before="0" w:after="0"/>
        <w:jc w:val="both"/>
        <w:rPr>
          <w:sz w:val="22"/>
          <w:szCs w:val="22"/>
        </w:rPr>
      </w:pPr>
      <w:r w:rsidRPr="003B5CDA">
        <w:rPr>
          <w:sz w:val="22"/>
          <w:szCs w:val="22"/>
        </w:rPr>
        <w:t xml:space="preserve">This is not the case in the South and Eastern Tablelands.  Purchase affordability has declined in every LGA in the region, with three LGAs having 0% affordable </w:t>
      </w:r>
      <w:r w:rsidRPr="003B5CDA">
        <w:rPr>
          <w:sz w:val="22"/>
          <w:szCs w:val="22"/>
        </w:rPr>
        <w:lastRenderedPageBreak/>
        <w:t xml:space="preserve">purchase at 2021 (Goulburn </w:t>
      </w:r>
      <w:proofErr w:type="spellStart"/>
      <w:r w:rsidRPr="003B5CDA">
        <w:rPr>
          <w:sz w:val="22"/>
          <w:szCs w:val="22"/>
        </w:rPr>
        <w:t>Mulwaree</w:t>
      </w:r>
      <w:proofErr w:type="spellEnd"/>
      <w:r w:rsidRPr="003B5CDA">
        <w:rPr>
          <w:sz w:val="22"/>
          <w:szCs w:val="22"/>
        </w:rPr>
        <w:t xml:space="preserve">, </w:t>
      </w:r>
      <w:proofErr w:type="spellStart"/>
      <w:r w:rsidRPr="003B5CDA">
        <w:rPr>
          <w:sz w:val="22"/>
          <w:szCs w:val="22"/>
        </w:rPr>
        <w:t>Wingecarribee</w:t>
      </w:r>
      <w:proofErr w:type="spellEnd"/>
      <w:r w:rsidRPr="003B5CDA">
        <w:rPr>
          <w:sz w:val="22"/>
          <w:szCs w:val="22"/>
        </w:rPr>
        <w:t xml:space="preserve"> and Yass Valley) and two more having less than 1% (Bega Valley and Snowy Monaro Regional).</w:t>
      </w:r>
      <w:r w:rsidR="00406C7C" w:rsidRPr="003B5CDA">
        <w:rPr>
          <w:sz w:val="22"/>
          <w:szCs w:val="22"/>
        </w:rPr>
        <w:t xml:space="preserve"> </w:t>
      </w:r>
    </w:p>
    <w:p w14:paraId="3F3ABEC2" w14:textId="77777777" w:rsidR="00487379" w:rsidRDefault="003C3F0E" w:rsidP="00BE1D4B">
      <w:pPr>
        <w:numPr>
          <w:ilvl w:val="0"/>
          <w:numId w:val="6"/>
        </w:numPr>
        <w:spacing w:before="0" w:after="0"/>
        <w:jc w:val="both"/>
        <w:rPr>
          <w:sz w:val="22"/>
          <w:szCs w:val="22"/>
        </w:rPr>
      </w:pPr>
      <w:r>
        <w:rPr>
          <w:sz w:val="22"/>
          <w:szCs w:val="22"/>
        </w:rPr>
        <w:t>At</w:t>
      </w:r>
      <w:r w:rsidR="003B5CDA">
        <w:rPr>
          <w:sz w:val="22"/>
          <w:szCs w:val="22"/>
        </w:rPr>
        <w:t xml:space="preserve"> June 2021</w:t>
      </w:r>
      <w:r w:rsidR="00487379">
        <w:rPr>
          <w:sz w:val="22"/>
          <w:szCs w:val="22"/>
        </w:rPr>
        <w:t>, all the South and Eastern Tablelands LGAs, with the exception of Hilltops and Upper Lachlan Valley, had a lower proportion of affordable purchase for very low income households than the average for the Rest of NSW of 7.5%</w:t>
      </w:r>
    </w:p>
    <w:p w14:paraId="4BB4E2A8" w14:textId="77777777" w:rsidR="00E1656E" w:rsidRPr="00EC3534" w:rsidRDefault="00E1656E" w:rsidP="00BE1D4B">
      <w:pPr>
        <w:numPr>
          <w:ilvl w:val="0"/>
          <w:numId w:val="6"/>
        </w:numPr>
        <w:spacing w:before="0" w:after="0"/>
        <w:jc w:val="both"/>
        <w:rPr>
          <w:sz w:val="22"/>
          <w:szCs w:val="22"/>
        </w:rPr>
      </w:pPr>
      <w:r w:rsidRPr="00EC3534">
        <w:rPr>
          <w:sz w:val="22"/>
          <w:szCs w:val="22"/>
        </w:rPr>
        <w:t>Th</w:t>
      </w:r>
      <w:r w:rsidR="00B53C22">
        <w:rPr>
          <w:sz w:val="22"/>
          <w:szCs w:val="22"/>
        </w:rPr>
        <w:t>e</w:t>
      </w:r>
      <w:r w:rsidRPr="00EC3534">
        <w:rPr>
          <w:sz w:val="22"/>
          <w:szCs w:val="22"/>
        </w:rPr>
        <w:t xml:space="preserve"> graph </w:t>
      </w:r>
      <w:r w:rsidR="00487379">
        <w:rPr>
          <w:sz w:val="22"/>
          <w:szCs w:val="22"/>
        </w:rPr>
        <w:t xml:space="preserve">and table </w:t>
      </w:r>
      <w:r w:rsidR="00B53C22">
        <w:rPr>
          <w:sz w:val="22"/>
          <w:szCs w:val="22"/>
        </w:rPr>
        <w:t xml:space="preserve">below </w:t>
      </w:r>
      <w:r w:rsidRPr="00EC3534">
        <w:rPr>
          <w:sz w:val="22"/>
          <w:szCs w:val="22"/>
        </w:rPr>
        <w:t xml:space="preserve">shows purchase affordability for very low income households in </w:t>
      </w:r>
      <w:r w:rsidR="00B53C22">
        <w:rPr>
          <w:sz w:val="22"/>
          <w:szCs w:val="22"/>
        </w:rPr>
        <w:t xml:space="preserve">the </w:t>
      </w:r>
      <w:r w:rsidR="002B6A4D">
        <w:rPr>
          <w:sz w:val="22"/>
          <w:szCs w:val="22"/>
        </w:rPr>
        <w:t xml:space="preserve">South and East Tablelands </w:t>
      </w:r>
      <w:r w:rsidR="00B53C22">
        <w:rPr>
          <w:sz w:val="22"/>
          <w:szCs w:val="22"/>
        </w:rPr>
        <w:t xml:space="preserve">LGAs </w:t>
      </w:r>
      <w:r w:rsidRPr="00EC3534">
        <w:rPr>
          <w:sz w:val="22"/>
          <w:szCs w:val="22"/>
        </w:rPr>
        <w:t>and the Rest of NSW between 20</w:t>
      </w:r>
      <w:r w:rsidR="00D476AE">
        <w:rPr>
          <w:sz w:val="22"/>
          <w:szCs w:val="22"/>
        </w:rPr>
        <w:t>0</w:t>
      </w:r>
      <w:r w:rsidRPr="00EC3534">
        <w:rPr>
          <w:sz w:val="22"/>
          <w:szCs w:val="22"/>
        </w:rPr>
        <w:t>1 and 2017.</w:t>
      </w:r>
    </w:p>
    <w:p w14:paraId="75681A20" w14:textId="3DFD3795" w:rsidR="00381901" w:rsidRDefault="008B047F" w:rsidP="00E1656E">
      <w:pPr>
        <w:spacing w:after="0"/>
        <w:jc w:val="both"/>
        <w:rPr>
          <w:sz w:val="22"/>
          <w:szCs w:val="22"/>
        </w:rPr>
      </w:pPr>
      <w:r>
        <w:rPr>
          <w:noProof/>
          <w:sz w:val="22"/>
          <w:szCs w:val="22"/>
        </w:rPr>
        <w:drawing>
          <wp:inline distT="0" distB="0" distL="0" distR="0" wp14:anchorId="365E295B" wp14:editId="3BFAE194">
            <wp:extent cx="5708015" cy="3058594"/>
            <wp:effectExtent l="0" t="0" r="698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2032" cy="3060746"/>
                    </a:xfrm>
                    <a:prstGeom prst="rect">
                      <a:avLst/>
                    </a:prstGeom>
                    <a:noFill/>
                  </pic:spPr>
                </pic:pic>
              </a:graphicData>
            </a:graphic>
          </wp:inline>
        </w:drawing>
      </w:r>
    </w:p>
    <w:p w14:paraId="5DDCE5B5" w14:textId="416DA65B" w:rsidR="00381901" w:rsidRDefault="00381901" w:rsidP="00E1656E">
      <w:pPr>
        <w:spacing w:after="0"/>
        <w:jc w:val="both"/>
        <w:rPr>
          <w:noProof/>
        </w:rPr>
      </w:pPr>
      <w:r>
        <w:rPr>
          <w:sz w:val="22"/>
          <w:szCs w:val="22"/>
        </w:rPr>
        <w:t>Proportion affordable purchase for very low income households</w:t>
      </w:r>
    </w:p>
    <w:p w14:paraId="2693D803" w14:textId="3C84ACAE" w:rsidR="008B047F" w:rsidRDefault="008B047F" w:rsidP="00E1656E">
      <w:pPr>
        <w:spacing w:after="0"/>
        <w:jc w:val="both"/>
        <w:rPr>
          <w:noProof/>
        </w:rPr>
      </w:pPr>
      <w:r w:rsidRPr="008B047F">
        <w:rPr>
          <w:noProof/>
        </w:rPr>
        <w:drawing>
          <wp:inline distT="0" distB="0" distL="0" distR="0" wp14:anchorId="61CAF19D" wp14:editId="2DBCBBFD">
            <wp:extent cx="5019675" cy="2105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19675" cy="2105025"/>
                    </a:xfrm>
                    <a:prstGeom prst="rect">
                      <a:avLst/>
                    </a:prstGeom>
                    <a:noFill/>
                    <a:ln>
                      <a:noFill/>
                    </a:ln>
                  </pic:spPr>
                </pic:pic>
              </a:graphicData>
            </a:graphic>
          </wp:inline>
        </w:drawing>
      </w:r>
    </w:p>
    <w:p w14:paraId="7D52B81E" w14:textId="77777777" w:rsidR="008B047F" w:rsidRDefault="008B047F" w:rsidP="00E1656E">
      <w:pPr>
        <w:spacing w:after="0"/>
        <w:jc w:val="both"/>
        <w:rPr>
          <w:sz w:val="22"/>
          <w:szCs w:val="22"/>
        </w:rPr>
      </w:pPr>
    </w:p>
    <w:p w14:paraId="7E65268B" w14:textId="77777777" w:rsidR="00EE5105" w:rsidRPr="00EE5105" w:rsidRDefault="00292C38" w:rsidP="00BE1D4B">
      <w:pPr>
        <w:numPr>
          <w:ilvl w:val="0"/>
          <w:numId w:val="7"/>
        </w:numPr>
        <w:spacing w:before="0" w:after="0"/>
        <w:jc w:val="both"/>
        <w:rPr>
          <w:b/>
          <w:sz w:val="22"/>
          <w:szCs w:val="22"/>
        </w:rPr>
      </w:pPr>
      <w:r>
        <w:rPr>
          <w:sz w:val="22"/>
          <w:szCs w:val="22"/>
        </w:rPr>
        <w:t xml:space="preserve">With the exception of Queanbeyan </w:t>
      </w:r>
      <w:proofErr w:type="spellStart"/>
      <w:r>
        <w:rPr>
          <w:sz w:val="22"/>
          <w:szCs w:val="22"/>
        </w:rPr>
        <w:t>Palerang</w:t>
      </w:r>
      <w:proofErr w:type="spellEnd"/>
      <w:r>
        <w:rPr>
          <w:sz w:val="22"/>
          <w:szCs w:val="22"/>
        </w:rPr>
        <w:t>, a</w:t>
      </w:r>
      <w:r w:rsidR="00FB4EE8">
        <w:rPr>
          <w:sz w:val="22"/>
          <w:szCs w:val="22"/>
        </w:rPr>
        <w:t xml:space="preserve">ll the </w:t>
      </w:r>
      <w:r w:rsidR="006D1E82">
        <w:rPr>
          <w:sz w:val="22"/>
          <w:szCs w:val="22"/>
        </w:rPr>
        <w:t xml:space="preserve">South and East Tablelands </w:t>
      </w:r>
      <w:r w:rsidR="00FB4EE8">
        <w:rPr>
          <w:sz w:val="22"/>
          <w:szCs w:val="22"/>
        </w:rPr>
        <w:t xml:space="preserve">LGAs </w:t>
      </w:r>
      <w:r w:rsidR="00B53C22">
        <w:rPr>
          <w:sz w:val="22"/>
          <w:szCs w:val="22"/>
        </w:rPr>
        <w:t xml:space="preserve">had a </w:t>
      </w:r>
      <w:r>
        <w:rPr>
          <w:sz w:val="22"/>
          <w:szCs w:val="22"/>
        </w:rPr>
        <w:t xml:space="preserve">decline in the </w:t>
      </w:r>
      <w:r w:rsidR="00B53C22">
        <w:rPr>
          <w:sz w:val="22"/>
          <w:szCs w:val="22"/>
        </w:rPr>
        <w:t>proportion of housing affordable for purchase by low income households</w:t>
      </w:r>
      <w:r>
        <w:rPr>
          <w:sz w:val="22"/>
          <w:szCs w:val="22"/>
        </w:rPr>
        <w:t xml:space="preserve"> over the last few years</w:t>
      </w:r>
      <w:r w:rsidR="00B53C22">
        <w:rPr>
          <w:sz w:val="22"/>
          <w:szCs w:val="22"/>
        </w:rPr>
        <w:t xml:space="preserve">.  </w:t>
      </w:r>
    </w:p>
    <w:p w14:paraId="0984AD58" w14:textId="77777777" w:rsidR="00EE5105" w:rsidRPr="00EE5105" w:rsidRDefault="00EE5105" w:rsidP="00BE1D4B">
      <w:pPr>
        <w:numPr>
          <w:ilvl w:val="0"/>
          <w:numId w:val="7"/>
        </w:numPr>
        <w:spacing w:before="0" w:after="0"/>
        <w:jc w:val="both"/>
        <w:rPr>
          <w:b/>
          <w:sz w:val="22"/>
          <w:szCs w:val="22"/>
        </w:rPr>
      </w:pPr>
      <w:r>
        <w:rPr>
          <w:sz w:val="22"/>
          <w:szCs w:val="22"/>
        </w:rPr>
        <w:t xml:space="preserve">At June 2021, </w:t>
      </w:r>
      <w:proofErr w:type="spellStart"/>
      <w:r>
        <w:rPr>
          <w:sz w:val="22"/>
          <w:szCs w:val="22"/>
        </w:rPr>
        <w:t>Wingecarribee</w:t>
      </w:r>
      <w:proofErr w:type="spellEnd"/>
      <w:r>
        <w:rPr>
          <w:sz w:val="22"/>
          <w:szCs w:val="22"/>
        </w:rPr>
        <w:t xml:space="preserve"> had 0% affordable purchase for low income households, with Eurobodalla (8.0%), Yass Valley (9.9%), Bega Valley (12.8%), </w:t>
      </w:r>
      <w:r>
        <w:rPr>
          <w:sz w:val="22"/>
          <w:szCs w:val="22"/>
        </w:rPr>
        <w:lastRenderedPageBreak/>
        <w:t xml:space="preserve">Goulburn </w:t>
      </w:r>
      <w:proofErr w:type="spellStart"/>
      <w:r>
        <w:rPr>
          <w:sz w:val="22"/>
          <w:szCs w:val="22"/>
        </w:rPr>
        <w:t>Mulwaree</w:t>
      </w:r>
      <w:proofErr w:type="spellEnd"/>
      <w:r>
        <w:rPr>
          <w:sz w:val="22"/>
          <w:szCs w:val="22"/>
        </w:rPr>
        <w:t xml:space="preserve"> (15.0%) and Queanbeyan </w:t>
      </w:r>
      <w:proofErr w:type="spellStart"/>
      <w:r>
        <w:rPr>
          <w:sz w:val="22"/>
          <w:szCs w:val="22"/>
        </w:rPr>
        <w:t>Palerang</w:t>
      </w:r>
      <w:proofErr w:type="spellEnd"/>
      <w:r>
        <w:rPr>
          <w:sz w:val="22"/>
          <w:szCs w:val="22"/>
        </w:rPr>
        <w:t xml:space="preserve"> (18.1%) all having a lower proportion affordable for purchase than the average for the Rest of NSW at 23.8%.</w:t>
      </w:r>
    </w:p>
    <w:p w14:paraId="41FAAC69" w14:textId="77777777" w:rsidR="00E1656E" w:rsidRPr="00EE5105" w:rsidRDefault="00E1656E" w:rsidP="00EE5105">
      <w:pPr>
        <w:numPr>
          <w:ilvl w:val="0"/>
          <w:numId w:val="7"/>
        </w:numPr>
        <w:spacing w:before="0" w:after="0"/>
        <w:jc w:val="both"/>
        <w:rPr>
          <w:b/>
          <w:sz w:val="22"/>
          <w:szCs w:val="22"/>
        </w:rPr>
      </w:pPr>
      <w:r w:rsidRPr="00EE5105">
        <w:rPr>
          <w:sz w:val="22"/>
          <w:szCs w:val="22"/>
        </w:rPr>
        <w:t>The graph</w:t>
      </w:r>
      <w:r w:rsidR="00EE5105">
        <w:rPr>
          <w:sz w:val="22"/>
          <w:szCs w:val="22"/>
        </w:rPr>
        <w:t xml:space="preserve"> and table</w:t>
      </w:r>
      <w:r w:rsidRPr="00EE5105">
        <w:rPr>
          <w:sz w:val="22"/>
          <w:szCs w:val="22"/>
        </w:rPr>
        <w:t xml:space="preserve"> below show the change in purchase affordability for low income households in the</w:t>
      </w:r>
      <w:r w:rsidR="006D1E82" w:rsidRPr="00EE5105">
        <w:rPr>
          <w:sz w:val="22"/>
          <w:szCs w:val="22"/>
        </w:rPr>
        <w:t xml:space="preserve"> South and East Tablelands</w:t>
      </w:r>
      <w:r w:rsidR="00A65755" w:rsidRPr="00EE5105">
        <w:rPr>
          <w:sz w:val="22"/>
          <w:szCs w:val="22"/>
        </w:rPr>
        <w:t>, compared to the Rest of NSW,</w:t>
      </w:r>
      <w:r w:rsidR="00A30C29" w:rsidRPr="00EE5105">
        <w:rPr>
          <w:sz w:val="22"/>
          <w:szCs w:val="22"/>
        </w:rPr>
        <w:t xml:space="preserve"> </w:t>
      </w:r>
      <w:r w:rsidRPr="00EE5105">
        <w:rPr>
          <w:sz w:val="22"/>
          <w:szCs w:val="22"/>
        </w:rPr>
        <w:t>between 20</w:t>
      </w:r>
      <w:r w:rsidR="00A30C29" w:rsidRPr="00EE5105">
        <w:rPr>
          <w:sz w:val="22"/>
          <w:szCs w:val="22"/>
        </w:rPr>
        <w:t>0</w:t>
      </w:r>
      <w:r w:rsidRPr="00EE5105">
        <w:rPr>
          <w:sz w:val="22"/>
          <w:szCs w:val="22"/>
        </w:rPr>
        <w:t>1 and 2017.</w:t>
      </w:r>
    </w:p>
    <w:p w14:paraId="48B50EC3" w14:textId="0DF62BFE" w:rsidR="00E1656E" w:rsidRDefault="00840BB1" w:rsidP="00E1656E">
      <w:pPr>
        <w:jc w:val="both"/>
        <w:rPr>
          <w:b/>
          <w:sz w:val="20"/>
          <w:szCs w:val="20"/>
          <w:highlight w:val="yellow"/>
        </w:rPr>
      </w:pPr>
      <w:r>
        <w:rPr>
          <w:b/>
          <w:noProof/>
          <w:sz w:val="20"/>
          <w:szCs w:val="20"/>
          <w:highlight w:val="yellow"/>
        </w:rPr>
        <w:drawing>
          <wp:inline distT="0" distB="0" distL="0" distR="0" wp14:anchorId="6F37CEB0" wp14:editId="4F65C046">
            <wp:extent cx="5720715" cy="316277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655" cy="3164952"/>
                    </a:xfrm>
                    <a:prstGeom prst="rect">
                      <a:avLst/>
                    </a:prstGeom>
                    <a:noFill/>
                  </pic:spPr>
                </pic:pic>
              </a:graphicData>
            </a:graphic>
          </wp:inline>
        </w:drawing>
      </w:r>
    </w:p>
    <w:p w14:paraId="4CA5FCCD" w14:textId="77777777" w:rsidR="00A8624C" w:rsidRDefault="00A8624C" w:rsidP="00E1656E">
      <w:pPr>
        <w:jc w:val="both"/>
        <w:rPr>
          <w:noProof/>
          <w:sz w:val="22"/>
          <w:szCs w:val="22"/>
        </w:rPr>
      </w:pPr>
      <w:r w:rsidRPr="00A8624C">
        <w:rPr>
          <w:noProof/>
          <w:sz w:val="22"/>
          <w:szCs w:val="22"/>
        </w:rPr>
        <w:t>Proportion</w:t>
      </w:r>
      <w:r>
        <w:rPr>
          <w:noProof/>
          <w:sz w:val="22"/>
          <w:szCs w:val="22"/>
        </w:rPr>
        <w:t xml:space="preserve"> affordable rental for low income households</w:t>
      </w:r>
    </w:p>
    <w:p w14:paraId="16E034A5" w14:textId="6FFAF7E8" w:rsidR="00A8624C" w:rsidRPr="00A8624C" w:rsidRDefault="00840BB1" w:rsidP="00E1656E">
      <w:pPr>
        <w:jc w:val="both"/>
        <w:rPr>
          <w:noProof/>
          <w:sz w:val="22"/>
          <w:szCs w:val="22"/>
        </w:rPr>
      </w:pPr>
      <w:r w:rsidRPr="00840BB1">
        <w:rPr>
          <w:noProof/>
        </w:rPr>
        <w:drawing>
          <wp:inline distT="0" distB="0" distL="0" distR="0" wp14:anchorId="673144BE" wp14:editId="1FF4E2BF">
            <wp:extent cx="4857750" cy="2037121"/>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5808" cy="2040500"/>
                    </a:xfrm>
                    <a:prstGeom prst="rect">
                      <a:avLst/>
                    </a:prstGeom>
                    <a:noFill/>
                    <a:ln>
                      <a:noFill/>
                    </a:ln>
                  </pic:spPr>
                </pic:pic>
              </a:graphicData>
            </a:graphic>
          </wp:inline>
        </w:drawing>
      </w:r>
    </w:p>
    <w:p w14:paraId="4DD4AD1A" w14:textId="77777777" w:rsidR="00444215" w:rsidRDefault="00444215" w:rsidP="00A8624C">
      <w:pPr>
        <w:jc w:val="both"/>
        <w:rPr>
          <w:b/>
          <w:sz w:val="20"/>
          <w:szCs w:val="20"/>
          <w:highlight w:val="yellow"/>
        </w:rPr>
      </w:pPr>
    </w:p>
    <w:p w14:paraId="7301AF96" w14:textId="77777777" w:rsidR="00444215" w:rsidRDefault="00444215" w:rsidP="00A8624C">
      <w:pPr>
        <w:jc w:val="both"/>
        <w:rPr>
          <w:b/>
          <w:sz w:val="20"/>
          <w:szCs w:val="20"/>
          <w:highlight w:val="yellow"/>
        </w:rPr>
      </w:pPr>
    </w:p>
    <w:p w14:paraId="22B9F1F9" w14:textId="77777777" w:rsidR="00904968" w:rsidRPr="00E1068C" w:rsidRDefault="00904968" w:rsidP="00904968">
      <w:pPr>
        <w:jc w:val="both"/>
        <w:rPr>
          <w:b/>
          <w:color w:val="008000"/>
          <w:sz w:val="32"/>
        </w:rPr>
      </w:pPr>
      <w:r w:rsidRPr="00E1068C">
        <w:rPr>
          <w:b/>
          <w:color w:val="008000"/>
          <w:sz w:val="32"/>
        </w:rPr>
        <w:t xml:space="preserve">Purchase </w:t>
      </w:r>
      <w:r>
        <w:rPr>
          <w:b/>
          <w:color w:val="008000"/>
          <w:sz w:val="32"/>
        </w:rPr>
        <w:t>Stress</w:t>
      </w:r>
    </w:p>
    <w:p w14:paraId="5284A743" w14:textId="77777777" w:rsidR="00A8624C" w:rsidRPr="001D657E" w:rsidRDefault="00F10840" w:rsidP="00F10840">
      <w:pPr>
        <w:pStyle w:val="ListParagraph"/>
        <w:numPr>
          <w:ilvl w:val="0"/>
          <w:numId w:val="24"/>
        </w:numPr>
        <w:jc w:val="both"/>
        <w:rPr>
          <w:b/>
          <w:sz w:val="20"/>
          <w:szCs w:val="20"/>
        </w:rPr>
      </w:pPr>
      <w:r>
        <w:rPr>
          <w:sz w:val="22"/>
          <w:szCs w:val="22"/>
        </w:rPr>
        <w:t xml:space="preserve">In 2021 there were 1,155 very low income households and 1,223 low income households purchasing </w:t>
      </w:r>
      <w:r w:rsidR="001D657E">
        <w:rPr>
          <w:sz w:val="22"/>
          <w:szCs w:val="22"/>
        </w:rPr>
        <w:t xml:space="preserve">a </w:t>
      </w:r>
      <w:r>
        <w:rPr>
          <w:sz w:val="22"/>
          <w:szCs w:val="22"/>
        </w:rPr>
        <w:t>home and in stress</w:t>
      </w:r>
      <w:r w:rsidR="001D657E">
        <w:rPr>
          <w:sz w:val="22"/>
          <w:szCs w:val="22"/>
        </w:rPr>
        <w:t xml:space="preserve"> across the region</w:t>
      </w:r>
      <w:r>
        <w:rPr>
          <w:sz w:val="22"/>
          <w:szCs w:val="22"/>
        </w:rPr>
        <w:t xml:space="preserve"> – that is, paying more than 30% of their income on their mortgage.</w:t>
      </w:r>
      <w:r w:rsidR="001D657E">
        <w:rPr>
          <w:sz w:val="22"/>
          <w:szCs w:val="22"/>
        </w:rPr>
        <w:t xml:space="preserve">  This represents 45.6% of very </w:t>
      </w:r>
      <w:r w:rsidR="001D657E">
        <w:rPr>
          <w:sz w:val="22"/>
          <w:szCs w:val="22"/>
        </w:rPr>
        <w:lastRenderedPageBreak/>
        <w:t>low and low income purchasers in South and East Tablelands – a slightly higher proportion than the average for the Rest of NSW at 43.9%.</w:t>
      </w:r>
    </w:p>
    <w:p w14:paraId="46118BF5" w14:textId="77777777" w:rsidR="00F10840" w:rsidRPr="00F77895" w:rsidRDefault="001D657E" w:rsidP="008C43FF">
      <w:pPr>
        <w:pStyle w:val="ListParagraph"/>
        <w:numPr>
          <w:ilvl w:val="0"/>
          <w:numId w:val="24"/>
        </w:numPr>
        <w:jc w:val="both"/>
        <w:rPr>
          <w:b/>
          <w:sz w:val="20"/>
          <w:szCs w:val="20"/>
        </w:rPr>
      </w:pPr>
      <w:proofErr w:type="spellStart"/>
      <w:r>
        <w:rPr>
          <w:sz w:val="22"/>
          <w:szCs w:val="22"/>
        </w:rPr>
        <w:t>Queabeyan</w:t>
      </w:r>
      <w:proofErr w:type="spellEnd"/>
      <w:r>
        <w:rPr>
          <w:sz w:val="22"/>
          <w:szCs w:val="22"/>
        </w:rPr>
        <w:t xml:space="preserve"> </w:t>
      </w:r>
      <w:proofErr w:type="spellStart"/>
      <w:r>
        <w:rPr>
          <w:sz w:val="22"/>
          <w:szCs w:val="22"/>
        </w:rPr>
        <w:t>Palerang</w:t>
      </w:r>
      <w:proofErr w:type="spellEnd"/>
      <w:r>
        <w:rPr>
          <w:sz w:val="22"/>
          <w:szCs w:val="22"/>
        </w:rPr>
        <w:t xml:space="preserve"> had the highest proportion with 56.4%, followed by </w:t>
      </w:r>
      <w:proofErr w:type="spellStart"/>
      <w:r>
        <w:rPr>
          <w:sz w:val="22"/>
          <w:szCs w:val="22"/>
        </w:rPr>
        <w:t>Wingecarribee</w:t>
      </w:r>
      <w:proofErr w:type="spellEnd"/>
      <w:r>
        <w:rPr>
          <w:sz w:val="22"/>
          <w:szCs w:val="22"/>
        </w:rPr>
        <w:t xml:space="preserve"> with 53.8%, while Eurobodalla had the highest number with 916, followed by </w:t>
      </w:r>
      <w:proofErr w:type="spellStart"/>
      <w:r>
        <w:rPr>
          <w:sz w:val="22"/>
          <w:szCs w:val="22"/>
        </w:rPr>
        <w:t>Wingecarribee</w:t>
      </w:r>
      <w:proofErr w:type="spellEnd"/>
      <w:r>
        <w:rPr>
          <w:sz w:val="22"/>
          <w:szCs w:val="22"/>
        </w:rPr>
        <w:t xml:space="preserve"> with 906 and Bega Valley with 902.</w:t>
      </w:r>
    </w:p>
    <w:p w14:paraId="2A330EF2" w14:textId="77777777" w:rsidR="00F77895" w:rsidRPr="00F77895" w:rsidRDefault="00F77895" w:rsidP="00F77895">
      <w:pPr>
        <w:jc w:val="both"/>
        <w:rPr>
          <w:b/>
          <w:sz w:val="20"/>
          <w:szCs w:val="20"/>
        </w:rPr>
      </w:pPr>
      <w:r w:rsidRPr="00F77895">
        <w:rPr>
          <w:noProof/>
        </w:rPr>
        <w:drawing>
          <wp:inline distT="0" distB="0" distL="0" distR="0" wp14:anchorId="75BCD638" wp14:editId="68731402">
            <wp:extent cx="6010275" cy="2625178"/>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6652" cy="2632331"/>
                    </a:xfrm>
                    <a:prstGeom prst="rect">
                      <a:avLst/>
                    </a:prstGeom>
                    <a:noFill/>
                    <a:ln>
                      <a:noFill/>
                    </a:ln>
                  </pic:spPr>
                </pic:pic>
              </a:graphicData>
            </a:graphic>
          </wp:inline>
        </w:drawing>
      </w:r>
    </w:p>
    <w:p w14:paraId="03D124B2" w14:textId="77777777" w:rsidR="00F10840" w:rsidRPr="001D657E" w:rsidRDefault="001D657E" w:rsidP="001D657E">
      <w:pPr>
        <w:pStyle w:val="ListParagraph"/>
        <w:numPr>
          <w:ilvl w:val="0"/>
          <w:numId w:val="25"/>
        </w:numPr>
        <w:jc w:val="both"/>
        <w:rPr>
          <w:sz w:val="22"/>
          <w:szCs w:val="22"/>
        </w:rPr>
      </w:pPr>
      <w:r>
        <w:rPr>
          <w:sz w:val="22"/>
          <w:szCs w:val="22"/>
        </w:rPr>
        <w:t>However the number of very low and low income purchasers in stress is significantly lower than the number of very low and low income renters in stress</w:t>
      </w:r>
      <w:r w:rsidR="001F4DD0">
        <w:rPr>
          <w:sz w:val="22"/>
          <w:szCs w:val="22"/>
        </w:rPr>
        <w:t xml:space="preserve"> in the region</w:t>
      </w:r>
      <w:r>
        <w:rPr>
          <w:sz w:val="22"/>
          <w:szCs w:val="22"/>
        </w:rPr>
        <w:t>, as the graph below demonstrates.</w:t>
      </w:r>
    </w:p>
    <w:p w14:paraId="09797EC9" w14:textId="77777777" w:rsidR="00F10840" w:rsidRDefault="00F10840" w:rsidP="00E1656E">
      <w:pPr>
        <w:jc w:val="both"/>
        <w:rPr>
          <w:b/>
          <w:sz w:val="20"/>
          <w:szCs w:val="20"/>
        </w:rPr>
      </w:pPr>
      <w:r>
        <w:rPr>
          <w:b/>
          <w:noProof/>
          <w:sz w:val="20"/>
          <w:szCs w:val="20"/>
        </w:rPr>
        <w:drawing>
          <wp:inline distT="0" distB="0" distL="0" distR="0" wp14:anchorId="21D37FB3" wp14:editId="49D6A9E1">
            <wp:extent cx="5785485" cy="3121660"/>
            <wp:effectExtent l="0" t="0" r="571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5485" cy="3121660"/>
                    </a:xfrm>
                    <a:prstGeom prst="rect">
                      <a:avLst/>
                    </a:prstGeom>
                    <a:noFill/>
                  </pic:spPr>
                </pic:pic>
              </a:graphicData>
            </a:graphic>
          </wp:inline>
        </w:drawing>
      </w:r>
    </w:p>
    <w:p w14:paraId="15018863" w14:textId="10AB71D0" w:rsidR="00F10840" w:rsidRDefault="00F10840" w:rsidP="00E1656E">
      <w:pPr>
        <w:jc w:val="both"/>
        <w:rPr>
          <w:b/>
          <w:sz w:val="20"/>
          <w:szCs w:val="20"/>
        </w:rPr>
      </w:pPr>
    </w:p>
    <w:p w14:paraId="1C39E36D" w14:textId="73D67C2D" w:rsidR="00A13FE9" w:rsidRDefault="00A13FE9" w:rsidP="00E1656E">
      <w:pPr>
        <w:jc w:val="both"/>
        <w:rPr>
          <w:b/>
          <w:sz w:val="20"/>
          <w:szCs w:val="20"/>
        </w:rPr>
      </w:pPr>
    </w:p>
    <w:p w14:paraId="0666B14E" w14:textId="77777777" w:rsidR="00A13FE9" w:rsidRPr="00F10840" w:rsidRDefault="00A13FE9" w:rsidP="00E1656E">
      <w:pPr>
        <w:jc w:val="both"/>
        <w:rPr>
          <w:b/>
          <w:sz w:val="20"/>
          <w:szCs w:val="20"/>
        </w:rPr>
      </w:pPr>
    </w:p>
    <w:p w14:paraId="76DA0D9C" w14:textId="77777777" w:rsidR="00E1656E" w:rsidRPr="00281439" w:rsidRDefault="00E1656E" w:rsidP="00E1656E">
      <w:pPr>
        <w:jc w:val="both"/>
        <w:rPr>
          <w:b/>
          <w:color w:val="008000"/>
          <w:sz w:val="32"/>
        </w:rPr>
      </w:pPr>
      <w:r w:rsidRPr="00281439">
        <w:rPr>
          <w:b/>
          <w:color w:val="008000"/>
          <w:sz w:val="32"/>
        </w:rPr>
        <w:lastRenderedPageBreak/>
        <w:t>Additional Data</w:t>
      </w:r>
    </w:p>
    <w:p w14:paraId="26491D19" w14:textId="77777777" w:rsidR="00E1656E" w:rsidRPr="00EC3534" w:rsidRDefault="00E1656E" w:rsidP="00E1656E">
      <w:pPr>
        <w:jc w:val="both"/>
        <w:rPr>
          <w:sz w:val="22"/>
          <w:szCs w:val="22"/>
        </w:rPr>
      </w:pPr>
      <w:r w:rsidRPr="00EC3534">
        <w:rPr>
          <w:sz w:val="22"/>
          <w:szCs w:val="22"/>
        </w:rPr>
        <w:t>Additional data on rents and sale prices, including both current and historical data, is available from the Rent and Sales Report on the Housing NSW website at:</w:t>
      </w:r>
    </w:p>
    <w:p w14:paraId="5DEE12A2" w14:textId="77777777" w:rsidR="00E1656E" w:rsidRPr="00EC3534" w:rsidRDefault="00C9774A" w:rsidP="00E1656E">
      <w:pPr>
        <w:jc w:val="both"/>
        <w:rPr>
          <w:sz w:val="22"/>
          <w:szCs w:val="22"/>
        </w:rPr>
      </w:pPr>
      <w:hyperlink r:id="rId33" w:history="1">
        <w:r w:rsidR="00E1656E" w:rsidRPr="00EC3534">
          <w:rPr>
            <w:rStyle w:val="Hyperlink"/>
            <w:sz w:val="22"/>
            <w:szCs w:val="22"/>
          </w:rPr>
          <w:t>http://www.housing.nsw.gov.au/About+Us/Reports+Plans+and+Papers/Rent+and+Sales+Reports/</w:t>
        </w:r>
      </w:hyperlink>
    </w:p>
    <w:p w14:paraId="114DC6CB" w14:textId="77777777" w:rsidR="00E1656E" w:rsidRPr="00EC3534" w:rsidRDefault="00E1656E" w:rsidP="00E1656E">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6FD00979" w14:textId="77777777" w:rsidR="00E1656E" w:rsidRPr="00EC3534" w:rsidRDefault="00C9774A" w:rsidP="00E1656E">
      <w:pPr>
        <w:jc w:val="both"/>
        <w:rPr>
          <w:sz w:val="22"/>
          <w:szCs w:val="22"/>
        </w:rPr>
      </w:pPr>
      <w:hyperlink r:id="rId34" w:history="1">
        <w:r w:rsidR="00E1656E" w:rsidRPr="00EC3534">
          <w:rPr>
            <w:rStyle w:val="Hyperlink"/>
            <w:sz w:val="22"/>
            <w:szCs w:val="22"/>
          </w:rPr>
          <w:t>http://www.housing.nsw.gov.au/Centre+For+Affordable+Housing/NSW+Local+Government+Housing+Kit/Local+Government+Housing+Kit+Database/</w:t>
        </w:r>
      </w:hyperlink>
    </w:p>
    <w:p w14:paraId="1B085BD9" w14:textId="77777777" w:rsidR="00E1656E" w:rsidRPr="00EC3534" w:rsidRDefault="00E1656E" w:rsidP="00E1656E">
      <w:pPr>
        <w:jc w:val="both"/>
        <w:rPr>
          <w:sz w:val="22"/>
          <w:szCs w:val="22"/>
        </w:rPr>
      </w:pPr>
      <w:r w:rsidRPr="00EC3534">
        <w:rPr>
          <w:sz w:val="22"/>
          <w:szCs w:val="22"/>
        </w:rPr>
        <w:t>More information on vacancy rates is available from the Real Estate Institute of NSW website (see their media releases on vacancy rates):</w:t>
      </w:r>
    </w:p>
    <w:p w14:paraId="2AB85519" w14:textId="77777777" w:rsidR="0050388E" w:rsidRPr="00E56065" w:rsidRDefault="00C9774A" w:rsidP="0070152B">
      <w:pPr>
        <w:jc w:val="both"/>
        <w:rPr>
          <w:szCs w:val="22"/>
        </w:rPr>
      </w:pPr>
      <w:hyperlink r:id="rId35" w:history="1">
        <w:r w:rsidR="00E1656E" w:rsidRPr="00EC3534">
          <w:rPr>
            <w:rStyle w:val="Hyperlink"/>
            <w:sz w:val="22"/>
            <w:szCs w:val="22"/>
          </w:rPr>
          <w:t>https://www.reinsw.com.au/</w:t>
        </w:r>
      </w:hyperlink>
    </w:p>
    <w:p w14:paraId="7CA55B92" w14:textId="77777777" w:rsidR="009D2867" w:rsidRPr="0050388E" w:rsidRDefault="009D2867" w:rsidP="0050388E"/>
    <w:sectPr w:rsidR="009D2867" w:rsidRPr="0050388E" w:rsidSect="00BB657B">
      <w:headerReference w:type="default" r:id="rId36"/>
      <w:footerReference w:type="default" r:id="rId37"/>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CBD5" w14:textId="77777777" w:rsidR="00033815" w:rsidRDefault="00033815">
      <w:r>
        <w:separator/>
      </w:r>
    </w:p>
  </w:endnote>
  <w:endnote w:type="continuationSeparator" w:id="0">
    <w:p w14:paraId="0AF594CF" w14:textId="77777777" w:rsidR="00033815" w:rsidRDefault="000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051"/>
      <w:docPartObj>
        <w:docPartGallery w:val="Page Numbers (Bottom of Page)"/>
        <w:docPartUnique/>
      </w:docPartObj>
    </w:sdtPr>
    <w:sdtEndPr>
      <w:rPr>
        <w:noProof/>
      </w:rPr>
    </w:sdtEndPr>
    <w:sdtContent>
      <w:p w14:paraId="191F39C9" w14:textId="77777777" w:rsidR="00D852CC" w:rsidRDefault="00D852CC">
        <w:pPr>
          <w:pStyle w:val="Footer"/>
          <w:jc w:val="right"/>
        </w:pPr>
        <w:r>
          <w:fldChar w:fldCharType="begin"/>
        </w:r>
        <w:r>
          <w:instrText xml:space="preserve"> PAGE   \* MERGEFORMAT </w:instrText>
        </w:r>
        <w:r>
          <w:fldChar w:fldCharType="separate"/>
        </w:r>
        <w:r w:rsidR="007065F9">
          <w:rPr>
            <w:noProof/>
          </w:rPr>
          <w:t>16</w:t>
        </w:r>
        <w:r>
          <w:rPr>
            <w:noProof/>
          </w:rPr>
          <w:fldChar w:fldCharType="end"/>
        </w:r>
      </w:p>
    </w:sdtContent>
  </w:sdt>
  <w:p w14:paraId="5DF89B33" w14:textId="77777777" w:rsidR="00033815" w:rsidRPr="00EC070F" w:rsidRDefault="00033815">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EAE3" w14:textId="77777777" w:rsidR="00033815" w:rsidRDefault="00033815">
      <w:r>
        <w:separator/>
      </w:r>
    </w:p>
  </w:footnote>
  <w:footnote w:type="continuationSeparator" w:id="0">
    <w:p w14:paraId="4D9BE422" w14:textId="77777777" w:rsidR="00033815" w:rsidRDefault="0003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B1B0" w14:textId="77777777" w:rsidR="00033815" w:rsidRDefault="00033815" w:rsidP="00555F5C">
    <w:pPr>
      <w:pStyle w:val="Factsheet"/>
      <w:ind w:left="7200"/>
      <w:jc w:val="left"/>
    </w:pPr>
    <w:r>
      <w:rPr>
        <w:noProof/>
      </w:rPr>
      <w:drawing>
        <wp:anchor distT="0" distB="0" distL="114300" distR="114300" simplePos="0" relativeHeight="251659264" behindDoc="1" locked="0" layoutInCell="1" allowOverlap="1" wp14:anchorId="5AF67E68" wp14:editId="3D5C4881">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5FCE94B6" w14:textId="77777777" w:rsidR="00033815" w:rsidRPr="001F5B89" w:rsidRDefault="00033815"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8AF"/>
    <w:multiLevelType w:val="hybridMultilevel"/>
    <w:tmpl w:val="5844AE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977E1B"/>
    <w:multiLevelType w:val="hybridMultilevel"/>
    <w:tmpl w:val="4FFA80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5062A"/>
    <w:multiLevelType w:val="hybridMultilevel"/>
    <w:tmpl w:val="56380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63AE4"/>
    <w:multiLevelType w:val="hybridMultilevel"/>
    <w:tmpl w:val="F0546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A41AFA"/>
    <w:multiLevelType w:val="hybridMultilevel"/>
    <w:tmpl w:val="7098DC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B53B45"/>
    <w:multiLevelType w:val="hybridMultilevel"/>
    <w:tmpl w:val="53A074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9153E8"/>
    <w:multiLevelType w:val="hybridMultilevel"/>
    <w:tmpl w:val="7F52E3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404729"/>
    <w:multiLevelType w:val="hybridMultilevel"/>
    <w:tmpl w:val="371A41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C16789"/>
    <w:multiLevelType w:val="hybridMultilevel"/>
    <w:tmpl w:val="7B003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B445CA"/>
    <w:multiLevelType w:val="hybridMultilevel"/>
    <w:tmpl w:val="28ACAD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D62B91"/>
    <w:multiLevelType w:val="hybridMultilevel"/>
    <w:tmpl w:val="1A906C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C0EAA"/>
    <w:multiLevelType w:val="hybridMultilevel"/>
    <w:tmpl w:val="89C855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81645"/>
    <w:multiLevelType w:val="hybridMultilevel"/>
    <w:tmpl w:val="7C1CD2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91270E"/>
    <w:multiLevelType w:val="multilevel"/>
    <w:tmpl w:val="7F48644A"/>
    <w:numStyleLink w:val="Bulletpoint"/>
  </w:abstractNum>
  <w:abstractNum w:abstractNumId="20"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0A66B4"/>
    <w:multiLevelType w:val="hybridMultilevel"/>
    <w:tmpl w:val="89B44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4C5432"/>
    <w:multiLevelType w:val="hybridMultilevel"/>
    <w:tmpl w:val="9118E9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730304233">
    <w:abstractNumId w:val="22"/>
  </w:num>
  <w:num w:numId="2" w16cid:durableId="1333296121">
    <w:abstractNumId w:val="8"/>
  </w:num>
  <w:num w:numId="3" w16cid:durableId="1305043182">
    <w:abstractNumId w:val="17"/>
  </w:num>
  <w:num w:numId="4" w16cid:durableId="1108817265">
    <w:abstractNumId w:val="18"/>
  </w:num>
  <w:num w:numId="5" w16cid:durableId="878401050">
    <w:abstractNumId w:val="24"/>
  </w:num>
  <w:num w:numId="6" w16cid:durableId="1503006110">
    <w:abstractNumId w:val="6"/>
  </w:num>
  <w:num w:numId="7" w16cid:durableId="719787185">
    <w:abstractNumId w:val="7"/>
  </w:num>
  <w:num w:numId="8" w16cid:durableId="362707368">
    <w:abstractNumId w:val="9"/>
  </w:num>
  <w:num w:numId="9" w16cid:durableId="627200469">
    <w:abstractNumId w:val="16"/>
  </w:num>
  <w:num w:numId="10" w16cid:durableId="487866589">
    <w:abstractNumId w:val="23"/>
  </w:num>
  <w:num w:numId="11" w16cid:durableId="453912414">
    <w:abstractNumId w:val="11"/>
  </w:num>
  <w:num w:numId="12" w16cid:durableId="1060904803">
    <w:abstractNumId w:val="21"/>
  </w:num>
  <w:num w:numId="13" w16cid:durableId="1047222569">
    <w:abstractNumId w:val="5"/>
  </w:num>
  <w:num w:numId="14" w16cid:durableId="196822104">
    <w:abstractNumId w:val="10"/>
  </w:num>
  <w:num w:numId="15" w16cid:durableId="1893806724">
    <w:abstractNumId w:val="19"/>
  </w:num>
  <w:num w:numId="16" w16cid:durableId="75446870">
    <w:abstractNumId w:val="3"/>
  </w:num>
  <w:num w:numId="17" w16cid:durableId="478621143">
    <w:abstractNumId w:val="13"/>
  </w:num>
  <w:num w:numId="18" w16cid:durableId="240142547">
    <w:abstractNumId w:val="4"/>
  </w:num>
  <w:num w:numId="19" w16cid:durableId="2066491058">
    <w:abstractNumId w:val="0"/>
  </w:num>
  <w:num w:numId="20" w16cid:durableId="1920479268">
    <w:abstractNumId w:val="14"/>
  </w:num>
  <w:num w:numId="21" w16cid:durableId="1172260354">
    <w:abstractNumId w:val="15"/>
  </w:num>
  <w:num w:numId="22" w16cid:durableId="797725301">
    <w:abstractNumId w:val="1"/>
  </w:num>
  <w:num w:numId="23" w16cid:durableId="1575236270">
    <w:abstractNumId w:val="12"/>
  </w:num>
  <w:num w:numId="24" w16cid:durableId="615336285">
    <w:abstractNumId w:val="20"/>
  </w:num>
  <w:num w:numId="25" w16cid:durableId="107288995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809"/>
    <w:rsid w:val="000020E7"/>
    <w:rsid w:val="00002385"/>
    <w:rsid w:val="0000286E"/>
    <w:rsid w:val="0000537C"/>
    <w:rsid w:val="00005CFA"/>
    <w:rsid w:val="000073E7"/>
    <w:rsid w:val="00010EEA"/>
    <w:rsid w:val="00011380"/>
    <w:rsid w:val="00011BCE"/>
    <w:rsid w:val="000128F8"/>
    <w:rsid w:val="000148F5"/>
    <w:rsid w:val="00014DFA"/>
    <w:rsid w:val="00014F49"/>
    <w:rsid w:val="0001509B"/>
    <w:rsid w:val="0001657D"/>
    <w:rsid w:val="0002002B"/>
    <w:rsid w:val="00020287"/>
    <w:rsid w:val="00020699"/>
    <w:rsid w:val="0002385F"/>
    <w:rsid w:val="000238BE"/>
    <w:rsid w:val="00025B62"/>
    <w:rsid w:val="00025DFD"/>
    <w:rsid w:val="0002652D"/>
    <w:rsid w:val="0002705A"/>
    <w:rsid w:val="000301A0"/>
    <w:rsid w:val="00030840"/>
    <w:rsid w:val="00031AA0"/>
    <w:rsid w:val="000327D7"/>
    <w:rsid w:val="000329C1"/>
    <w:rsid w:val="000331DB"/>
    <w:rsid w:val="00033815"/>
    <w:rsid w:val="00033A9F"/>
    <w:rsid w:val="0003643E"/>
    <w:rsid w:val="000406DD"/>
    <w:rsid w:val="000411E5"/>
    <w:rsid w:val="00042E77"/>
    <w:rsid w:val="0004492A"/>
    <w:rsid w:val="00045AF7"/>
    <w:rsid w:val="00047744"/>
    <w:rsid w:val="00047A40"/>
    <w:rsid w:val="00050277"/>
    <w:rsid w:val="000543CE"/>
    <w:rsid w:val="000545D9"/>
    <w:rsid w:val="00054D7D"/>
    <w:rsid w:val="00056C3A"/>
    <w:rsid w:val="000606B2"/>
    <w:rsid w:val="000610BC"/>
    <w:rsid w:val="00062436"/>
    <w:rsid w:val="00064BA4"/>
    <w:rsid w:val="00066D29"/>
    <w:rsid w:val="00067E94"/>
    <w:rsid w:val="00070150"/>
    <w:rsid w:val="00071F45"/>
    <w:rsid w:val="0007285B"/>
    <w:rsid w:val="0007502D"/>
    <w:rsid w:val="0007553F"/>
    <w:rsid w:val="00075B28"/>
    <w:rsid w:val="0007698C"/>
    <w:rsid w:val="0007784F"/>
    <w:rsid w:val="000808D2"/>
    <w:rsid w:val="000825C2"/>
    <w:rsid w:val="000831D3"/>
    <w:rsid w:val="0008467A"/>
    <w:rsid w:val="00086B8E"/>
    <w:rsid w:val="00091750"/>
    <w:rsid w:val="0009596E"/>
    <w:rsid w:val="00095D8D"/>
    <w:rsid w:val="00096208"/>
    <w:rsid w:val="00096EE0"/>
    <w:rsid w:val="000A0F1E"/>
    <w:rsid w:val="000A5290"/>
    <w:rsid w:val="000A5608"/>
    <w:rsid w:val="000A6642"/>
    <w:rsid w:val="000A7162"/>
    <w:rsid w:val="000B03FA"/>
    <w:rsid w:val="000B1862"/>
    <w:rsid w:val="000B2289"/>
    <w:rsid w:val="000B2634"/>
    <w:rsid w:val="000B2A74"/>
    <w:rsid w:val="000B3A4A"/>
    <w:rsid w:val="000B3FA4"/>
    <w:rsid w:val="000B56D8"/>
    <w:rsid w:val="000B61E9"/>
    <w:rsid w:val="000B748B"/>
    <w:rsid w:val="000B75EB"/>
    <w:rsid w:val="000B7B71"/>
    <w:rsid w:val="000B7B78"/>
    <w:rsid w:val="000C0268"/>
    <w:rsid w:val="000C2867"/>
    <w:rsid w:val="000C3B4F"/>
    <w:rsid w:val="000C662F"/>
    <w:rsid w:val="000C6B1E"/>
    <w:rsid w:val="000D2599"/>
    <w:rsid w:val="000D40E6"/>
    <w:rsid w:val="000D73FA"/>
    <w:rsid w:val="000D7FA3"/>
    <w:rsid w:val="000E078B"/>
    <w:rsid w:val="000E182F"/>
    <w:rsid w:val="000E1E21"/>
    <w:rsid w:val="000E5B59"/>
    <w:rsid w:val="000E7008"/>
    <w:rsid w:val="000F04EA"/>
    <w:rsid w:val="000F053E"/>
    <w:rsid w:val="000F249F"/>
    <w:rsid w:val="000F31F2"/>
    <w:rsid w:val="000F3370"/>
    <w:rsid w:val="000F461F"/>
    <w:rsid w:val="000F6CE6"/>
    <w:rsid w:val="000F6F9D"/>
    <w:rsid w:val="00101958"/>
    <w:rsid w:val="00104FC4"/>
    <w:rsid w:val="00107B40"/>
    <w:rsid w:val="00113B05"/>
    <w:rsid w:val="001167F5"/>
    <w:rsid w:val="00117158"/>
    <w:rsid w:val="001174B1"/>
    <w:rsid w:val="001202CA"/>
    <w:rsid w:val="00120F40"/>
    <w:rsid w:val="00122CAE"/>
    <w:rsid w:val="00124388"/>
    <w:rsid w:val="0012441C"/>
    <w:rsid w:val="001253F4"/>
    <w:rsid w:val="0013027E"/>
    <w:rsid w:val="00131EA4"/>
    <w:rsid w:val="00132F07"/>
    <w:rsid w:val="001344D3"/>
    <w:rsid w:val="001344DC"/>
    <w:rsid w:val="00135905"/>
    <w:rsid w:val="00136434"/>
    <w:rsid w:val="001368DC"/>
    <w:rsid w:val="0013733B"/>
    <w:rsid w:val="00137892"/>
    <w:rsid w:val="00137F70"/>
    <w:rsid w:val="00140885"/>
    <w:rsid w:val="00142DBC"/>
    <w:rsid w:val="00143399"/>
    <w:rsid w:val="001441BA"/>
    <w:rsid w:val="00146DD9"/>
    <w:rsid w:val="001501E7"/>
    <w:rsid w:val="00150F0C"/>
    <w:rsid w:val="00151375"/>
    <w:rsid w:val="001513E0"/>
    <w:rsid w:val="001517A4"/>
    <w:rsid w:val="00152AEF"/>
    <w:rsid w:val="00152CFA"/>
    <w:rsid w:val="001537A4"/>
    <w:rsid w:val="00156081"/>
    <w:rsid w:val="001610A2"/>
    <w:rsid w:val="00162916"/>
    <w:rsid w:val="00163B75"/>
    <w:rsid w:val="00165B56"/>
    <w:rsid w:val="00165BCC"/>
    <w:rsid w:val="0016630F"/>
    <w:rsid w:val="001663F4"/>
    <w:rsid w:val="001669DC"/>
    <w:rsid w:val="0017182A"/>
    <w:rsid w:val="00171F63"/>
    <w:rsid w:val="001741DC"/>
    <w:rsid w:val="001742EA"/>
    <w:rsid w:val="00175CFF"/>
    <w:rsid w:val="00175E21"/>
    <w:rsid w:val="0017634D"/>
    <w:rsid w:val="001769EC"/>
    <w:rsid w:val="00177604"/>
    <w:rsid w:val="00177D10"/>
    <w:rsid w:val="00182CBD"/>
    <w:rsid w:val="00182CDB"/>
    <w:rsid w:val="00184737"/>
    <w:rsid w:val="001909CA"/>
    <w:rsid w:val="00195700"/>
    <w:rsid w:val="00196624"/>
    <w:rsid w:val="00197B58"/>
    <w:rsid w:val="001A0949"/>
    <w:rsid w:val="001A0A02"/>
    <w:rsid w:val="001B00B6"/>
    <w:rsid w:val="001B17A1"/>
    <w:rsid w:val="001B1E40"/>
    <w:rsid w:val="001B27D6"/>
    <w:rsid w:val="001B2A55"/>
    <w:rsid w:val="001B3A46"/>
    <w:rsid w:val="001B4A6B"/>
    <w:rsid w:val="001B4D62"/>
    <w:rsid w:val="001B676A"/>
    <w:rsid w:val="001B79B1"/>
    <w:rsid w:val="001C15E4"/>
    <w:rsid w:val="001C236A"/>
    <w:rsid w:val="001C37D4"/>
    <w:rsid w:val="001C6396"/>
    <w:rsid w:val="001C71A1"/>
    <w:rsid w:val="001D0C88"/>
    <w:rsid w:val="001D144E"/>
    <w:rsid w:val="001D3CC0"/>
    <w:rsid w:val="001D4D66"/>
    <w:rsid w:val="001D657E"/>
    <w:rsid w:val="001D77A4"/>
    <w:rsid w:val="001E12EE"/>
    <w:rsid w:val="001E1D5E"/>
    <w:rsid w:val="001E556C"/>
    <w:rsid w:val="001E5759"/>
    <w:rsid w:val="001E783A"/>
    <w:rsid w:val="001F2B5D"/>
    <w:rsid w:val="001F3B60"/>
    <w:rsid w:val="001F46C1"/>
    <w:rsid w:val="001F4DD0"/>
    <w:rsid w:val="001F5B89"/>
    <w:rsid w:val="001F5E9F"/>
    <w:rsid w:val="001F71B5"/>
    <w:rsid w:val="001F777F"/>
    <w:rsid w:val="002010FF"/>
    <w:rsid w:val="002016EE"/>
    <w:rsid w:val="00201EC7"/>
    <w:rsid w:val="00203AFA"/>
    <w:rsid w:val="00203F4C"/>
    <w:rsid w:val="00206468"/>
    <w:rsid w:val="0021405C"/>
    <w:rsid w:val="002140CA"/>
    <w:rsid w:val="00215557"/>
    <w:rsid w:val="002162B2"/>
    <w:rsid w:val="002174EE"/>
    <w:rsid w:val="00217B75"/>
    <w:rsid w:val="00220972"/>
    <w:rsid w:val="00221E16"/>
    <w:rsid w:val="00223136"/>
    <w:rsid w:val="00226F44"/>
    <w:rsid w:val="002307C5"/>
    <w:rsid w:val="00230EEA"/>
    <w:rsid w:val="0023354E"/>
    <w:rsid w:val="002340A8"/>
    <w:rsid w:val="00235151"/>
    <w:rsid w:val="0023651B"/>
    <w:rsid w:val="00237B30"/>
    <w:rsid w:val="002407D0"/>
    <w:rsid w:val="002422C8"/>
    <w:rsid w:val="00245811"/>
    <w:rsid w:val="00245F5C"/>
    <w:rsid w:val="00247FE5"/>
    <w:rsid w:val="002527DA"/>
    <w:rsid w:val="002552D9"/>
    <w:rsid w:val="0026139C"/>
    <w:rsid w:val="0026232D"/>
    <w:rsid w:val="00262CF8"/>
    <w:rsid w:val="0026359F"/>
    <w:rsid w:val="00263903"/>
    <w:rsid w:val="00266AEE"/>
    <w:rsid w:val="00266ECB"/>
    <w:rsid w:val="00270797"/>
    <w:rsid w:val="002718EB"/>
    <w:rsid w:val="00271FF2"/>
    <w:rsid w:val="00273BD2"/>
    <w:rsid w:val="002759E0"/>
    <w:rsid w:val="002805F3"/>
    <w:rsid w:val="00280DA8"/>
    <w:rsid w:val="00281CF5"/>
    <w:rsid w:val="0028254B"/>
    <w:rsid w:val="00283423"/>
    <w:rsid w:val="0028352A"/>
    <w:rsid w:val="0028595F"/>
    <w:rsid w:val="00285DA3"/>
    <w:rsid w:val="00285F8B"/>
    <w:rsid w:val="0028732F"/>
    <w:rsid w:val="002912B0"/>
    <w:rsid w:val="00292C38"/>
    <w:rsid w:val="00294596"/>
    <w:rsid w:val="0029484C"/>
    <w:rsid w:val="002976C9"/>
    <w:rsid w:val="002A07FD"/>
    <w:rsid w:val="002A2478"/>
    <w:rsid w:val="002A3643"/>
    <w:rsid w:val="002A63B7"/>
    <w:rsid w:val="002A7FC0"/>
    <w:rsid w:val="002B0833"/>
    <w:rsid w:val="002B2FBC"/>
    <w:rsid w:val="002B5215"/>
    <w:rsid w:val="002B6A4D"/>
    <w:rsid w:val="002B745C"/>
    <w:rsid w:val="002B79EF"/>
    <w:rsid w:val="002B7CEB"/>
    <w:rsid w:val="002C15DA"/>
    <w:rsid w:val="002C1746"/>
    <w:rsid w:val="002C2918"/>
    <w:rsid w:val="002C291E"/>
    <w:rsid w:val="002C2A57"/>
    <w:rsid w:val="002C48DC"/>
    <w:rsid w:val="002C4BE4"/>
    <w:rsid w:val="002C4FC7"/>
    <w:rsid w:val="002C546D"/>
    <w:rsid w:val="002C75FA"/>
    <w:rsid w:val="002C7846"/>
    <w:rsid w:val="002D2808"/>
    <w:rsid w:val="002D3D98"/>
    <w:rsid w:val="002D473B"/>
    <w:rsid w:val="002D7FF1"/>
    <w:rsid w:val="002E1475"/>
    <w:rsid w:val="002E1989"/>
    <w:rsid w:val="002E23C3"/>
    <w:rsid w:val="002E4809"/>
    <w:rsid w:val="002E5E5E"/>
    <w:rsid w:val="002E7126"/>
    <w:rsid w:val="002F11C1"/>
    <w:rsid w:val="002F194D"/>
    <w:rsid w:val="002F1BF6"/>
    <w:rsid w:val="002F3AFB"/>
    <w:rsid w:val="002F3E33"/>
    <w:rsid w:val="002F4710"/>
    <w:rsid w:val="002F4E30"/>
    <w:rsid w:val="002F5488"/>
    <w:rsid w:val="002F558B"/>
    <w:rsid w:val="002F61A0"/>
    <w:rsid w:val="002F7EDC"/>
    <w:rsid w:val="00300844"/>
    <w:rsid w:val="003020E4"/>
    <w:rsid w:val="003033E8"/>
    <w:rsid w:val="00304DAF"/>
    <w:rsid w:val="00305089"/>
    <w:rsid w:val="00305829"/>
    <w:rsid w:val="00307D53"/>
    <w:rsid w:val="0031042B"/>
    <w:rsid w:val="0031124B"/>
    <w:rsid w:val="003117CD"/>
    <w:rsid w:val="00315796"/>
    <w:rsid w:val="003173AB"/>
    <w:rsid w:val="00320D58"/>
    <w:rsid w:val="0032135B"/>
    <w:rsid w:val="003306A3"/>
    <w:rsid w:val="00330901"/>
    <w:rsid w:val="00333D00"/>
    <w:rsid w:val="00334EDE"/>
    <w:rsid w:val="0033547A"/>
    <w:rsid w:val="0033798F"/>
    <w:rsid w:val="0034140D"/>
    <w:rsid w:val="003433C7"/>
    <w:rsid w:val="00343FC0"/>
    <w:rsid w:val="00344F5A"/>
    <w:rsid w:val="003451FB"/>
    <w:rsid w:val="0035011E"/>
    <w:rsid w:val="003511BA"/>
    <w:rsid w:val="003514DE"/>
    <w:rsid w:val="003519E4"/>
    <w:rsid w:val="00351E80"/>
    <w:rsid w:val="0035247A"/>
    <w:rsid w:val="00352D3F"/>
    <w:rsid w:val="00352E00"/>
    <w:rsid w:val="003560A6"/>
    <w:rsid w:val="00360C09"/>
    <w:rsid w:val="00360EA0"/>
    <w:rsid w:val="003612DA"/>
    <w:rsid w:val="00371240"/>
    <w:rsid w:val="0037151D"/>
    <w:rsid w:val="00373822"/>
    <w:rsid w:val="00374198"/>
    <w:rsid w:val="00381901"/>
    <w:rsid w:val="00382406"/>
    <w:rsid w:val="00382DD2"/>
    <w:rsid w:val="00383F13"/>
    <w:rsid w:val="003864CF"/>
    <w:rsid w:val="003869F8"/>
    <w:rsid w:val="003924EC"/>
    <w:rsid w:val="00393363"/>
    <w:rsid w:val="00394F0A"/>
    <w:rsid w:val="00395DA8"/>
    <w:rsid w:val="00396834"/>
    <w:rsid w:val="003A0D8E"/>
    <w:rsid w:val="003A2183"/>
    <w:rsid w:val="003A2289"/>
    <w:rsid w:val="003A2DAE"/>
    <w:rsid w:val="003A5B11"/>
    <w:rsid w:val="003A60EC"/>
    <w:rsid w:val="003A66E0"/>
    <w:rsid w:val="003A68E8"/>
    <w:rsid w:val="003A6E37"/>
    <w:rsid w:val="003A74D7"/>
    <w:rsid w:val="003B109B"/>
    <w:rsid w:val="003B1954"/>
    <w:rsid w:val="003B1E26"/>
    <w:rsid w:val="003B2029"/>
    <w:rsid w:val="003B312B"/>
    <w:rsid w:val="003B4221"/>
    <w:rsid w:val="003B4FA9"/>
    <w:rsid w:val="003B5958"/>
    <w:rsid w:val="003B5CDA"/>
    <w:rsid w:val="003B6984"/>
    <w:rsid w:val="003B76E6"/>
    <w:rsid w:val="003B7C6B"/>
    <w:rsid w:val="003C3F0E"/>
    <w:rsid w:val="003C497F"/>
    <w:rsid w:val="003D1D0D"/>
    <w:rsid w:val="003D3F7D"/>
    <w:rsid w:val="003D6256"/>
    <w:rsid w:val="003D74B2"/>
    <w:rsid w:val="003E027E"/>
    <w:rsid w:val="003E040E"/>
    <w:rsid w:val="003E1331"/>
    <w:rsid w:val="003E2B10"/>
    <w:rsid w:val="003E3494"/>
    <w:rsid w:val="003E3F20"/>
    <w:rsid w:val="003F0F71"/>
    <w:rsid w:val="003F12EE"/>
    <w:rsid w:val="003F1D65"/>
    <w:rsid w:val="003F4AE1"/>
    <w:rsid w:val="003F5D47"/>
    <w:rsid w:val="003F5EEE"/>
    <w:rsid w:val="003F7832"/>
    <w:rsid w:val="00403E95"/>
    <w:rsid w:val="00403ECB"/>
    <w:rsid w:val="00404713"/>
    <w:rsid w:val="004060A5"/>
    <w:rsid w:val="00406C7C"/>
    <w:rsid w:val="00413496"/>
    <w:rsid w:val="00414660"/>
    <w:rsid w:val="00414BFB"/>
    <w:rsid w:val="00415351"/>
    <w:rsid w:val="004157A1"/>
    <w:rsid w:val="0041637F"/>
    <w:rsid w:val="00417530"/>
    <w:rsid w:val="004209CB"/>
    <w:rsid w:val="00422217"/>
    <w:rsid w:val="004226F2"/>
    <w:rsid w:val="00422F58"/>
    <w:rsid w:val="004250D1"/>
    <w:rsid w:val="00426C75"/>
    <w:rsid w:val="00426CCF"/>
    <w:rsid w:val="0042762C"/>
    <w:rsid w:val="0043154E"/>
    <w:rsid w:val="00431C7D"/>
    <w:rsid w:val="00432E44"/>
    <w:rsid w:val="004332B9"/>
    <w:rsid w:val="00433911"/>
    <w:rsid w:val="00433F77"/>
    <w:rsid w:val="00435FBE"/>
    <w:rsid w:val="0043730B"/>
    <w:rsid w:val="00437E31"/>
    <w:rsid w:val="00440B2D"/>
    <w:rsid w:val="00442561"/>
    <w:rsid w:val="00443223"/>
    <w:rsid w:val="00444215"/>
    <w:rsid w:val="004450E5"/>
    <w:rsid w:val="0044771E"/>
    <w:rsid w:val="004514ED"/>
    <w:rsid w:val="00456D1B"/>
    <w:rsid w:val="00457244"/>
    <w:rsid w:val="004578D4"/>
    <w:rsid w:val="00462C0D"/>
    <w:rsid w:val="00463348"/>
    <w:rsid w:val="00463693"/>
    <w:rsid w:val="00465278"/>
    <w:rsid w:val="00465B77"/>
    <w:rsid w:val="00465CA9"/>
    <w:rsid w:val="00466F42"/>
    <w:rsid w:val="00471904"/>
    <w:rsid w:val="00471FED"/>
    <w:rsid w:val="00472613"/>
    <w:rsid w:val="00474D1F"/>
    <w:rsid w:val="00475D18"/>
    <w:rsid w:val="00477082"/>
    <w:rsid w:val="0047716D"/>
    <w:rsid w:val="00482A4A"/>
    <w:rsid w:val="00483E4D"/>
    <w:rsid w:val="00484FED"/>
    <w:rsid w:val="00486ADF"/>
    <w:rsid w:val="00486FE9"/>
    <w:rsid w:val="00487379"/>
    <w:rsid w:val="00487C45"/>
    <w:rsid w:val="004905D6"/>
    <w:rsid w:val="004909FF"/>
    <w:rsid w:val="0049179E"/>
    <w:rsid w:val="00492B05"/>
    <w:rsid w:val="004955BF"/>
    <w:rsid w:val="00497695"/>
    <w:rsid w:val="00497A81"/>
    <w:rsid w:val="004A1A99"/>
    <w:rsid w:val="004A39D0"/>
    <w:rsid w:val="004A58FB"/>
    <w:rsid w:val="004A6608"/>
    <w:rsid w:val="004B4725"/>
    <w:rsid w:val="004B47D6"/>
    <w:rsid w:val="004B73E4"/>
    <w:rsid w:val="004C3A9D"/>
    <w:rsid w:val="004C4253"/>
    <w:rsid w:val="004C46B8"/>
    <w:rsid w:val="004C4868"/>
    <w:rsid w:val="004C74B6"/>
    <w:rsid w:val="004C7CEB"/>
    <w:rsid w:val="004D006D"/>
    <w:rsid w:val="004D3681"/>
    <w:rsid w:val="004D3B91"/>
    <w:rsid w:val="004D5B8A"/>
    <w:rsid w:val="004D5D40"/>
    <w:rsid w:val="004D7EA7"/>
    <w:rsid w:val="004E32D2"/>
    <w:rsid w:val="004E5367"/>
    <w:rsid w:val="004E5573"/>
    <w:rsid w:val="004E5AF2"/>
    <w:rsid w:val="004E63F8"/>
    <w:rsid w:val="004F0748"/>
    <w:rsid w:val="004F4F54"/>
    <w:rsid w:val="004F5225"/>
    <w:rsid w:val="004F5627"/>
    <w:rsid w:val="004F68F4"/>
    <w:rsid w:val="0050041C"/>
    <w:rsid w:val="00500814"/>
    <w:rsid w:val="00500AF2"/>
    <w:rsid w:val="00501A40"/>
    <w:rsid w:val="0050388E"/>
    <w:rsid w:val="00505E8C"/>
    <w:rsid w:val="0050608D"/>
    <w:rsid w:val="0050731C"/>
    <w:rsid w:val="00512431"/>
    <w:rsid w:val="005138C1"/>
    <w:rsid w:val="00513B31"/>
    <w:rsid w:val="00514203"/>
    <w:rsid w:val="00515388"/>
    <w:rsid w:val="00516284"/>
    <w:rsid w:val="005176D3"/>
    <w:rsid w:val="00517D85"/>
    <w:rsid w:val="00523B1F"/>
    <w:rsid w:val="00532867"/>
    <w:rsid w:val="005362AF"/>
    <w:rsid w:val="00537C3A"/>
    <w:rsid w:val="00540306"/>
    <w:rsid w:val="00540BEA"/>
    <w:rsid w:val="00542A5E"/>
    <w:rsid w:val="00542D54"/>
    <w:rsid w:val="0054492D"/>
    <w:rsid w:val="005501FF"/>
    <w:rsid w:val="00552DEE"/>
    <w:rsid w:val="00555F5C"/>
    <w:rsid w:val="00557D72"/>
    <w:rsid w:val="0056136E"/>
    <w:rsid w:val="005641BC"/>
    <w:rsid w:val="00564A6D"/>
    <w:rsid w:val="00566044"/>
    <w:rsid w:val="005674AF"/>
    <w:rsid w:val="00567A30"/>
    <w:rsid w:val="00572CB5"/>
    <w:rsid w:val="005736B4"/>
    <w:rsid w:val="00575218"/>
    <w:rsid w:val="0057662F"/>
    <w:rsid w:val="00577525"/>
    <w:rsid w:val="0058035E"/>
    <w:rsid w:val="00581AED"/>
    <w:rsid w:val="00581C6C"/>
    <w:rsid w:val="00583D52"/>
    <w:rsid w:val="00584469"/>
    <w:rsid w:val="0058515E"/>
    <w:rsid w:val="005852F8"/>
    <w:rsid w:val="005859FB"/>
    <w:rsid w:val="00585E90"/>
    <w:rsid w:val="00587B7D"/>
    <w:rsid w:val="00587FC3"/>
    <w:rsid w:val="005927CC"/>
    <w:rsid w:val="005A14CC"/>
    <w:rsid w:val="005A20CD"/>
    <w:rsid w:val="005A2F57"/>
    <w:rsid w:val="005A349E"/>
    <w:rsid w:val="005A576C"/>
    <w:rsid w:val="005A5F47"/>
    <w:rsid w:val="005A74E6"/>
    <w:rsid w:val="005B03F0"/>
    <w:rsid w:val="005B05EB"/>
    <w:rsid w:val="005B1497"/>
    <w:rsid w:val="005B2469"/>
    <w:rsid w:val="005B3E6F"/>
    <w:rsid w:val="005B5BE9"/>
    <w:rsid w:val="005B6274"/>
    <w:rsid w:val="005B72A1"/>
    <w:rsid w:val="005B78B3"/>
    <w:rsid w:val="005C03C7"/>
    <w:rsid w:val="005C0C76"/>
    <w:rsid w:val="005C1A32"/>
    <w:rsid w:val="005C3829"/>
    <w:rsid w:val="005D0369"/>
    <w:rsid w:val="005D2418"/>
    <w:rsid w:val="005D3C1E"/>
    <w:rsid w:val="005D5243"/>
    <w:rsid w:val="005D7A3A"/>
    <w:rsid w:val="005E0EC4"/>
    <w:rsid w:val="005E1A2C"/>
    <w:rsid w:val="005E304F"/>
    <w:rsid w:val="005E4202"/>
    <w:rsid w:val="005E5D5C"/>
    <w:rsid w:val="005F265C"/>
    <w:rsid w:val="005F47CF"/>
    <w:rsid w:val="005F4AE4"/>
    <w:rsid w:val="005F68CF"/>
    <w:rsid w:val="005F7C64"/>
    <w:rsid w:val="00602501"/>
    <w:rsid w:val="00602E79"/>
    <w:rsid w:val="006047A5"/>
    <w:rsid w:val="00606263"/>
    <w:rsid w:val="00606514"/>
    <w:rsid w:val="00606598"/>
    <w:rsid w:val="00606934"/>
    <w:rsid w:val="006165FD"/>
    <w:rsid w:val="00616FBF"/>
    <w:rsid w:val="0062186B"/>
    <w:rsid w:val="0062259C"/>
    <w:rsid w:val="00624F0D"/>
    <w:rsid w:val="00625A95"/>
    <w:rsid w:val="00625C93"/>
    <w:rsid w:val="006260A4"/>
    <w:rsid w:val="00626515"/>
    <w:rsid w:val="006268D0"/>
    <w:rsid w:val="006274DB"/>
    <w:rsid w:val="0063059C"/>
    <w:rsid w:val="00632596"/>
    <w:rsid w:val="00634D71"/>
    <w:rsid w:val="00635154"/>
    <w:rsid w:val="00637912"/>
    <w:rsid w:val="00637B17"/>
    <w:rsid w:val="006407A6"/>
    <w:rsid w:val="00640C32"/>
    <w:rsid w:val="00640E74"/>
    <w:rsid w:val="00641B08"/>
    <w:rsid w:val="006454C0"/>
    <w:rsid w:val="00651675"/>
    <w:rsid w:val="00653DAE"/>
    <w:rsid w:val="00655929"/>
    <w:rsid w:val="006560D6"/>
    <w:rsid w:val="00656D1A"/>
    <w:rsid w:val="00657E24"/>
    <w:rsid w:val="006604A0"/>
    <w:rsid w:val="00661A24"/>
    <w:rsid w:val="00662ABD"/>
    <w:rsid w:val="006632AB"/>
    <w:rsid w:val="0066560E"/>
    <w:rsid w:val="00667F27"/>
    <w:rsid w:val="00673F44"/>
    <w:rsid w:val="0067451E"/>
    <w:rsid w:val="006754B6"/>
    <w:rsid w:val="00675CB8"/>
    <w:rsid w:val="00676748"/>
    <w:rsid w:val="00676B97"/>
    <w:rsid w:val="00676D5D"/>
    <w:rsid w:val="00681CB1"/>
    <w:rsid w:val="00682A32"/>
    <w:rsid w:val="0068374C"/>
    <w:rsid w:val="00684100"/>
    <w:rsid w:val="00684688"/>
    <w:rsid w:val="00691AEC"/>
    <w:rsid w:val="00693256"/>
    <w:rsid w:val="0069529F"/>
    <w:rsid w:val="006971DF"/>
    <w:rsid w:val="006A0046"/>
    <w:rsid w:val="006A0BE2"/>
    <w:rsid w:val="006A0FF7"/>
    <w:rsid w:val="006A2858"/>
    <w:rsid w:val="006A3F87"/>
    <w:rsid w:val="006A5D5F"/>
    <w:rsid w:val="006A6DB1"/>
    <w:rsid w:val="006A7B4F"/>
    <w:rsid w:val="006B04CD"/>
    <w:rsid w:val="006B33CD"/>
    <w:rsid w:val="006B3B25"/>
    <w:rsid w:val="006B4028"/>
    <w:rsid w:val="006B480C"/>
    <w:rsid w:val="006B493D"/>
    <w:rsid w:val="006B5340"/>
    <w:rsid w:val="006B5948"/>
    <w:rsid w:val="006B5DB0"/>
    <w:rsid w:val="006B6DB1"/>
    <w:rsid w:val="006C0C3B"/>
    <w:rsid w:val="006C4501"/>
    <w:rsid w:val="006C47B1"/>
    <w:rsid w:val="006C6BD1"/>
    <w:rsid w:val="006D00D3"/>
    <w:rsid w:val="006D1891"/>
    <w:rsid w:val="006D1E36"/>
    <w:rsid w:val="006D1E82"/>
    <w:rsid w:val="006D2E28"/>
    <w:rsid w:val="006D6D40"/>
    <w:rsid w:val="006E09F6"/>
    <w:rsid w:val="006E1EBC"/>
    <w:rsid w:val="006E3BEB"/>
    <w:rsid w:val="006E79A0"/>
    <w:rsid w:val="006F0A72"/>
    <w:rsid w:val="006F0E4E"/>
    <w:rsid w:val="006F1DD2"/>
    <w:rsid w:val="006F3E7B"/>
    <w:rsid w:val="006F3EEE"/>
    <w:rsid w:val="006F405B"/>
    <w:rsid w:val="006F4102"/>
    <w:rsid w:val="006F55AF"/>
    <w:rsid w:val="006F678D"/>
    <w:rsid w:val="006F777C"/>
    <w:rsid w:val="006F7E8A"/>
    <w:rsid w:val="00700862"/>
    <w:rsid w:val="00700FFE"/>
    <w:rsid w:val="0070152B"/>
    <w:rsid w:val="0070389C"/>
    <w:rsid w:val="007039F2"/>
    <w:rsid w:val="00703E2D"/>
    <w:rsid w:val="00705798"/>
    <w:rsid w:val="00706202"/>
    <w:rsid w:val="007065F9"/>
    <w:rsid w:val="00706E5A"/>
    <w:rsid w:val="00707B6E"/>
    <w:rsid w:val="00711F21"/>
    <w:rsid w:val="00712E51"/>
    <w:rsid w:val="007143CA"/>
    <w:rsid w:val="00717F47"/>
    <w:rsid w:val="0072085C"/>
    <w:rsid w:val="00722530"/>
    <w:rsid w:val="007225CF"/>
    <w:rsid w:val="007227F3"/>
    <w:rsid w:val="00722BDC"/>
    <w:rsid w:val="00724361"/>
    <w:rsid w:val="0072526F"/>
    <w:rsid w:val="00725308"/>
    <w:rsid w:val="00726BCE"/>
    <w:rsid w:val="00730305"/>
    <w:rsid w:val="00730C7D"/>
    <w:rsid w:val="007349CD"/>
    <w:rsid w:val="00735662"/>
    <w:rsid w:val="00735D7C"/>
    <w:rsid w:val="00736BFA"/>
    <w:rsid w:val="0073706D"/>
    <w:rsid w:val="007370A0"/>
    <w:rsid w:val="007373FB"/>
    <w:rsid w:val="00737805"/>
    <w:rsid w:val="00740E3B"/>
    <w:rsid w:val="007418B7"/>
    <w:rsid w:val="0075359D"/>
    <w:rsid w:val="00753808"/>
    <w:rsid w:val="007539EE"/>
    <w:rsid w:val="00756146"/>
    <w:rsid w:val="00760AA8"/>
    <w:rsid w:val="00761AA7"/>
    <w:rsid w:val="00761B41"/>
    <w:rsid w:val="00762B2A"/>
    <w:rsid w:val="00763B79"/>
    <w:rsid w:val="007653AC"/>
    <w:rsid w:val="007660D9"/>
    <w:rsid w:val="007712A3"/>
    <w:rsid w:val="007719DB"/>
    <w:rsid w:val="00773342"/>
    <w:rsid w:val="00775DAA"/>
    <w:rsid w:val="00775E52"/>
    <w:rsid w:val="007775C2"/>
    <w:rsid w:val="0078400F"/>
    <w:rsid w:val="00785342"/>
    <w:rsid w:val="007870F3"/>
    <w:rsid w:val="00787EB8"/>
    <w:rsid w:val="007904E8"/>
    <w:rsid w:val="00792149"/>
    <w:rsid w:val="00794002"/>
    <w:rsid w:val="00794B8E"/>
    <w:rsid w:val="007961C0"/>
    <w:rsid w:val="00797618"/>
    <w:rsid w:val="007A0631"/>
    <w:rsid w:val="007A2415"/>
    <w:rsid w:val="007A2915"/>
    <w:rsid w:val="007A2C9D"/>
    <w:rsid w:val="007A4357"/>
    <w:rsid w:val="007A4ACF"/>
    <w:rsid w:val="007A5679"/>
    <w:rsid w:val="007A7B79"/>
    <w:rsid w:val="007B10A1"/>
    <w:rsid w:val="007B23C0"/>
    <w:rsid w:val="007B5E96"/>
    <w:rsid w:val="007B796A"/>
    <w:rsid w:val="007C2068"/>
    <w:rsid w:val="007C314E"/>
    <w:rsid w:val="007C336E"/>
    <w:rsid w:val="007C3B0B"/>
    <w:rsid w:val="007C3CAF"/>
    <w:rsid w:val="007C5444"/>
    <w:rsid w:val="007D0D89"/>
    <w:rsid w:val="007D3CF8"/>
    <w:rsid w:val="007D5C3E"/>
    <w:rsid w:val="007D5C84"/>
    <w:rsid w:val="007D612F"/>
    <w:rsid w:val="007D7250"/>
    <w:rsid w:val="007D7989"/>
    <w:rsid w:val="007E0541"/>
    <w:rsid w:val="007E283B"/>
    <w:rsid w:val="007E440C"/>
    <w:rsid w:val="007E6506"/>
    <w:rsid w:val="007E6630"/>
    <w:rsid w:val="007E74CE"/>
    <w:rsid w:val="007F0DFF"/>
    <w:rsid w:val="007F21E1"/>
    <w:rsid w:val="007F249A"/>
    <w:rsid w:val="007F4612"/>
    <w:rsid w:val="007F49B2"/>
    <w:rsid w:val="007F4BB5"/>
    <w:rsid w:val="007F4CD1"/>
    <w:rsid w:val="007F50E8"/>
    <w:rsid w:val="007F5B00"/>
    <w:rsid w:val="007F5E79"/>
    <w:rsid w:val="007F5F30"/>
    <w:rsid w:val="007F5F8C"/>
    <w:rsid w:val="007F6563"/>
    <w:rsid w:val="008001A5"/>
    <w:rsid w:val="00802DD7"/>
    <w:rsid w:val="00807728"/>
    <w:rsid w:val="00810C20"/>
    <w:rsid w:val="00811F9B"/>
    <w:rsid w:val="008161B8"/>
    <w:rsid w:val="0082299C"/>
    <w:rsid w:val="00822A85"/>
    <w:rsid w:val="00823721"/>
    <w:rsid w:val="00830009"/>
    <w:rsid w:val="00830C15"/>
    <w:rsid w:val="00830CEA"/>
    <w:rsid w:val="00832FAA"/>
    <w:rsid w:val="00833BC8"/>
    <w:rsid w:val="00833D51"/>
    <w:rsid w:val="00834910"/>
    <w:rsid w:val="008355C2"/>
    <w:rsid w:val="008359C8"/>
    <w:rsid w:val="00840BB1"/>
    <w:rsid w:val="0084320C"/>
    <w:rsid w:val="00843501"/>
    <w:rsid w:val="00844E69"/>
    <w:rsid w:val="00845592"/>
    <w:rsid w:val="008477FE"/>
    <w:rsid w:val="0085229E"/>
    <w:rsid w:val="00852784"/>
    <w:rsid w:val="0085449F"/>
    <w:rsid w:val="00855C78"/>
    <w:rsid w:val="0086371E"/>
    <w:rsid w:val="008640CC"/>
    <w:rsid w:val="008645E3"/>
    <w:rsid w:val="00864828"/>
    <w:rsid w:val="00870743"/>
    <w:rsid w:val="008709B8"/>
    <w:rsid w:val="00871442"/>
    <w:rsid w:val="00872919"/>
    <w:rsid w:val="00872FF1"/>
    <w:rsid w:val="0087502F"/>
    <w:rsid w:val="00876CE5"/>
    <w:rsid w:val="00877A34"/>
    <w:rsid w:val="00877A71"/>
    <w:rsid w:val="0088091F"/>
    <w:rsid w:val="008841B2"/>
    <w:rsid w:val="00884540"/>
    <w:rsid w:val="008873F6"/>
    <w:rsid w:val="008940F6"/>
    <w:rsid w:val="00895308"/>
    <w:rsid w:val="00895585"/>
    <w:rsid w:val="008A3A20"/>
    <w:rsid w:val="008A4136"/>
    <w:rsid w:val="008A53DD"/>
    <w:rsid w:val="008A6A0D"/>
    <w:rsid w:val="008A7B08"/>
    <w:rsid w:val="008B047F"/>
    <w:rsid w:val="008B1641"/>
    <w:rsid w:val="008B2E29"/>
    <w:rsid w:val="008B3B1D"/>
    <w:rsid w:val="008B4601"/>
    <w:rsid w:val="008B6191"/>
    <w:rsid w:val="008B6B17"/>
    <w:rsid w:val="008C140F"/>
    <w:rsid w:val="008C2FB2"/>
    <w:rsid w:val="008C5183"/>
    <w:rsid w:val="008D12BF"/>
    <w:rsid w:val="008D367F"/>
    <w:rsid w:val="008D43FA"/>
    <w:rsid w:val="008D4793"/>
    <w:rsid w:val="008D4CBD"/>
    <w:rsid w:val="008D5C71"/>
    <w:rsid w:val="008E03EC"/>
    <w:rsid w:val="008E2FCC"/>
    <w:rsid w:val="008E3093"/>
    <w:rsid w:val="008E65B7"/>
    <w:rsid w:val="008E6C1E"/>
    <w:rsid w:val="008E7B78"/>
    <w:rsid w:val="008F2BB7"/>
    <w:rsid w:val="008F2FB1"/>
    <w:rsid w:val="008F49CF"/>
    <w:rsid w:val="008F757B"/>
    <w:rsid w:val="009001A0"/>
    <w:rsid w:val="00900828"/>
    <w:rsid w:val="00900D31"/>
    <w:rsid w:val="00903812"/>
    <w:rsid w:val="009042B3"/>
    <w:rsid w:val="00904968"/>
    <w:rsid w:val="00904A57"/>
    <w:rsid w:val="00906663"/>
    <w:rsid w:val="00912DB1"/>
    <w:rsid w:val="0091352A"/>
    <w:rsid w:val="00914AA2"/>
    <w:rsid w:val="00915392"/>
    <w:rsid w:val="00916AE4"/>
    <w:rsid w:val="00917E2A"/>
    <w:rsid w:val="009257F5"/>
    <w:rsid w:val="00925E78"/>
    <w:rsid w:val="00931A41"/>
    <w:rsid w:val="009320E3"/>
    <w:rsid w:val="00933915"/>
    <w:rsid w:val="0094467E"/>
    <w:rsid w:val="00944CB0"/>
    <w:rsid w:val="0094542E"/>
    <w:rsid w:val="0094585F"/>
    <w:rsid w:val="00946659"/>
    <w:rsid w:val="00946B7E"/>
    <w:rsid w:val="00947BDA"/>
    <w:rsid w:val="0095060E"/>
    <w:rsid w:val="009518D2"/>
    <w:rsid w:val="00953E8A"/>
    <w:rsid w:val="00956100"/>
    <w:rsid w:val="00957D75"/>
    <w:rsid w:val="00961D88"/>
    <w:rsid w:val="009648C5"/>
    <w:rsid w:val="00965EE5"/>
    <w:rsid w:val="009674B8"/>
    <w:rsid w:val="00970410"/>
    <w:rsid w:val="00970D43"/>
    <w:rsid w:val="00971CE0"/>
    <w:rsid w:val="0097415B"/>
    <w:rsid w:val="009805BD"/>
    <w:rsid w:val="0098118D"/>
    <w:rsid w:val="00981E50"/>
    <w:rsid w:val="009827BA"/>
    <w:rsid w:val="00983CCD"/>
    <w:rsid w:val="0098461E"/>
    <w:rsid w:val="00984B52"/>
    <w:rsid w:val="00985076"/>
    <w:rsid w:val="0098586D"/>
    <w:rsid w:val="00987C51"/>
    <w:rsid w:val="00993332"/>
    <w:rsid w:val="0099637D"/>
    <w:rsid w:val="00997723"/>
    <w:rsid w:val="009A3228"/>
    <w:rsid w:val="009A577D"/>
    <w:rsid w:val="009A6CF1"/>
    <w:rsid w:val="009A7C06"/>
    <w:rsid w:val="009B03A5"/>
    <w:rsid w:val="009B275D"/>
    <w:rsid w:val="009B3925"/>
    <w:rsid w:val="009B6768"/>
    <w:rsid w:val="009B799E"/>
    <w:rsid w:val="009C09F9"/>
    <w:rsid w:val="009C39F9"/>
    <w:rsid w:val="009C4138"/>
    <w:rsid w:val="009D0DE8"/>
    <w:rsid w:val="009D1EF2"/>
    <w:rsid w:val="009D2867"/>
    <w:rsid w:val="009D2F67"/>
    <w:rsid w:val="009D3B98"/>
    <w:rsid w:val="009D4C8B"/>
    <w:rsid w:val="009D4F3C"/>
    <w:rsid w:val="009D4F40"/>
    <w:rsid w:val="009E03C1"/>
    <w:rsid w:val="009E3C87"/>
    <w:rsid w:val="009E46E2"/>
    <w:rsid w:val="009E4B0D"/>
    <w:rsid w:val="009E4DB0"/>
    <w:rsid w:val="009E6ADC"/>
    <w:rsid w:val="009E7D17"/>
    <w:rsid w:val="009F05C3"/>
    <w:rsid w:val="009F0CFA"/>
    <w:rsid w:val="009F3242"/>
    <w:rsid w:val="009F3EA5"/>
    <w:rsid w:val="009F4F73"/>
    <w:rsid w:val="009F556D"/>
    <w:rsid w:val="009F5A7B"/>
    <w:rsid w:val="00A03B45"/>
    <w:rsid w:val="00A06DC4"/>
    <w:rsid w:val="00A06F4C"/>
    <w:rsid w:val="00A1260F"/>
    <w:rsid w:val="00A12F22"/>
    <w:rsid w:val="00A136B7"/>
    <w:rsid w:val="00A138A5"/>
    <w:rsid w:val="00A13FE9"/>
    <w:rsid w:val="00A140C4"/>
    <w:rsid w:val="00A14431"/>
    <w:rsid w:val="00A160B4"/>
    <w:rsid w:val="00A160EE"/>
    <w:rsid w:val="00A165E3"/>
    <w:rsid w:val="00A20688"/>
    <w:rsid w:val="00A21DD3"/>
    <w:rsid w:val="00A241FD"/>
    <w:rsid w:val="00A24EA1"/>
    <w:rsid w:val="00A25CE3"/>
    <w:rsid w:val="00A30C29"/>
    <w:rsid w:val="00A3196A"/>
    <w:rsid w:val="00A33B90"/>
    <w:rsid w:val="00A33EF5"/>
    <w:rsid w:val="00A3617B"/>
    <w:rsid w:val="00A36BE4"/>
    <w:rsid w:val="00A413C4"/>
    <w:rsid w:val="00A4153B"/>
    <w:rsid w:val="00A41CAC"/>
    <w:rsid w:val="00A428D7"/>
    <w:rsid w:val="00A440B8"/>
    <w:rsid w:val="00A44CF3"/>
    <w:rsid w:val="00A46D24"/>
    <w:rsid w:val="00A47932"/>
    <w:rsid w:val="00A50459"/>
    <w:rsid w:val="00A515B1"/>
    <w:rsid w:val="00A54292"/>
    <w:rsid w:val="00A54816"/>
    <w:rsid w:val="00A54F47"/>
    <w:rsid w:val="00A554CE"/>
    <w:rsid w:val="00A5593B"/>
    <w:rsid w:val="00A60F03"/>
    <w:rsid w:val="00A628C2"/>
    <w:rsid w:val="00A65755"/>
    <w:rsid w:val="00A701DD"/>
    <w:rsid w:val="00A72113"/>
    <w:rsid w:val="00A73754"/>
    <w:rsid w:val="00A73802"/>
    <w:rsid w:val="00A73BB0"/>
    <w:rsid w:val="00A807C9"/>
    <w:rsid w:val="00A80F69"/>
    <w:rsid w:val="00A819EB"/>
    <w:rsid w:val="00A8318D"/>
    <w:rsid w:val="00A8375D"/>
    <w:rsid w:val="00A8445B"/>
    <w:rsid w:val="00A84596"/>
    <w:rsid w:val="00A8484E"/>
    <w:rsid w:val="00A8624C"/>
    <w:rsid w:val="00A8639D"/>
    <w:rsid w:val="00A86628"/>
    <w:rsid w:val="00A87502"/>
    <w:rsid w:val="00A91C45"/>
    <w:rsid w:val="00A937ED"/>
    <w:rsid w:val="00A9434D"/>
    <w:rsid w:val="00A9447F"/>
    <w:rsid w:val="00A96FAD"/>
    <w:rsid w:val="00A972A4"/>
    <w:rsid w:val="00A97E8E"/>
    <w:rsid w:val="00AA0677"/>
    <w:rsid w:val="00AA1F7F"/>
    <w:rsid w:val="00AA3318"/>
    <w:rsid w:val="00AA3945"/>
    <w:rsid w:val="00AA5CF4"/>
    <w:rsid w:val="00AB080E"/>
    <w:rsid w:val="00AB25AB"/>
    <w:rsid w:val="00AB2F33"/>
    <w:rsid w:val="00AB4BED"/>
    <w:rsid w:val="00AB614E"/>
    <w:rsid w:val="00AB6AC5"/>
    <w:rsid w:val="00AC0157"/>
    <w:rsid w:val="00AC2363"/>
    <w:rsid w:val="00AC61EC"/>
    <w:rsid w:val="00AC6C5D"/>
    <w:rsid w:val="00AC72F0"/>
    <w:rsid w:val="00AC7892"/>
    <w:rsid w:val="00AC791A"/>
    <w:rsid w:val="00AD198A"/>
    <w:rsid w:val="00AD392C"/>
    <w:rsid w:val="00AD5F1E"/>
    <w:rsid w:val="00AD7126"/>
    <w:rsid w:val="00AD7C3B"/>
    <w:rsid w:val="00AE05C4"/>
    <w:rsid w:val="00AE59F0"/>
    <w:rsid w:val="00AE6C6D"/>
    <w:rsid w:val="00AF0285"/>
    <w:rsid w:val="00AF70A3"/>
    <w:rsid w:val="00B000DB"/>
    <w:rsid w:val="00B06988"/>
    <w:rsid w:val="00B10019"/>
    <w:rsid w:val="00B1087F"/>
    <w:rsid w:val="00B11633"/>
    <w:rsid w:val="00B136C8"/>
    <w:rsid w:val="00B17858"/>
    <w:rsid w:val="00B20EB9"/>
    <w:rsid w:val="00B21A38"/>
    <w:rsid w:val="00B2208A"/>
    <w:rsid w:val="00B23631"/>
    <w:rsid w:val="00B25D04"/>
    <w:rsid w:val="00B31145"/>
    <w:rsid w:val="00B35935"/>
    <w:rsid w:val="00B359F1"/>
    <w:rsid w:val="00B41260"/>
    <w:rsid w:val="00B41A1F"/>
    <w:rsid w:val="00B422FB"/>
    <w:rsid w:val="00B4309C"/>
    <w:rsid w:val="00B4316D"/>
    <w:rsid w:val="00B436F2"/>
    <w:rsid w:val="00B442B4"/>
    <w:rsid w:val="00B5290C"/>
    <w:rsid w:val="00B530A0"/>
    <w:rsid w:val="00B53C22"/>
    <w:rsid w:val="00B54619"/>
    <w:rsid w:val="00B579B2"/>
    <w:rsid w:val="00B62525"/>
    <w:rsid w:val="00B64321"/>
    <w:rsid w:val="00B65329"/>
    <w:rsid w:val="00B65904"/>
    <w:rsid w:val="00B66307"/>
    <w:rsid w:val="00B66545"/>
    <w:rsid w:val="00B6725F"/>
    <w:rsid w:val="00B70335"/>
    <w:rsid w:val="00B719F0"/>
    <w:rsid w:val="00B72875"/>
    <w:rsid w:val="00B745E9"/>
    <w:rsid w:val="00B7577A"/>
    <w:rsid w:val="00B77ED0"/>
    <w:rsid w:val="00B810A6"/>
    <w:rsid w:val="00B81F48"/>
    <w:rsid w:val="00B830DD"/>
    <w:rsid w:val="00B8325F"/>
    <w:rsid w:val="00B83551"/>
    <w:rsid w:val="00B87826"/>
    <w:rsid w:val="00B9065D"/>
    <w:rsid w:val="00B9232D"/>
    <w:rsid w:val="00B923F1"/>
    <w:rsid w:val="00B938EF"/>
    <w:rsid w:val="00B93AD1"/>
    <w:rsid w:val="00B93FBE"/>
    <w:rsid w:val="00B94763"/>
    <w:rsid w:val="00B96800"/>
    <w:rsid w:val="00BA029A"/>
    <w:rsid w:val="00BA1BD8"/>
    <w:rsid w:val="00BA31AA"/>
    <w:rsid w:val="00BA4230"/>
    <w:rsid w:val="00BA4468"/>
    <w:rsid w:val="00BA5201"/>
    <w:rsid w:val="00BB0F1F"/>
    <w:rsid w:val="00BB11ED"/>
    <w:rsid w:val="00BB1545"/>
    <w:rsid w:val="00BB1802"/>
    <w:rsid w:val="00BB304A"/>
    <w:rsid w:val="00BB3F50"/>
    <w:rsid w:val="00BB3FC9"/>
    <w:rsid w:val="00BB657B"/>
    <w:rsid w:val="00BB7E7F"/>
    <w:rsid w:val="00BC12FE"/>
    <w:rsid w:val="00BC1827"/>
    <w:rsid w:val="00BC2124"/>
    <w:rsid w:val="00BC237F"/>
    <w:rsid w:val="00BC2DA6"/>
    <w:rsid w:val="00BC589A"/>
    <w:rsid w:val="00BC7CFD"/>
    <w:rsid w:val="00BD0868"/>
    <w:rsid w:val="00BD0D25"/>
    <w:rsid w:val="00BD103B"/>
    <w:rsid w:val="00BD710E"/>
    <w:rsid w:val="00BD75AF"/>
    <w:rsid w:val="00BE1D4B"/>
    <w:rsid w:val="00BE1F07"/>
    <w:rsid w:val="00BE3E96"/>
    <w:rsid w:val="00BE68A0"/>
    <w:rsid w:val="00BE6932"/>
    <w:rsid w:val="00BE7F4F"/>
    <w:rsid w:val="00BF0F0A"/>
    <w:rsid w:val="00BF73F0"/>
    <w:rsid w:val="00BF7961"/>
    <w:rsid w:val="00C03748"/>
    <w:rsid w:val="00C039E4"/>
    <w:rsid w:val="00C04104"/>
    <w:rsid w:val="00C10460"/>
    <w:rsid w:val="00C10AAB"/>
    <w:rsid w:val="00C10F89"/>
    <w:rsid w:val="00C11A9A"/>
    <w:rsid w:val="00C11D3B"/>
    <w:rsid w:val="00C1543B"/>
    <w:rsid w:val="00C16688"/>
    <w:rsid w:val="00C20CC5"/>
    <w:rsid w:val="00C212C5"/>
    <w:rsid w:val="00C2134C"/>
    <w:rsid w:val="00C22F45"/>
    <w:rsid w:val="00C23778"/>
    <w:rsid w:val="00C23E09"/>
    <w:rsid w:val="00C30684"/>
    <w:rsid w:val="00C33295"/>
    <w:rsid w:val="00C33DD7"/>
    <w:rsid w:val="00C343DA"/>
    <w:rsid w:val="00C34CF1"/>
    <w:rsid w:val="00C36D69"/>
    <w:rsid w:val="00C406FB"/>
    <w:rsid w:val="00C4100B"/>
    <w:rsid w:val="00C410A5"/>
    <w:rsid w:val="00C41DED"/>
    <w:rsid w:val="00C431A4"/>
    <w:rsid w:val="00C4404C"/>
    <w:rsid w:val="00C45EA3"/>
    <w:rsid w:val="00C5036A"/>
    <w:rsid w:val="00C5065A"/>
    <w:rsid w:val="00C509C4"/>
    <w:rsid w:val="00C548D1"/>
    <w:rsid w:val="00C56180"/>
    <w:rsid w:val="00C61DAC"/>
    <w:rsid w:val="00C628C9"/>
    <w:rsid w:val="00C63F6D"/>
    <w:rsid w:val="00C6472A"/>
    <w:rsid w:val="00C64EEA"/>
    <w:rsid w:val="00C725F4"/>
    <w:rsid w:val="00C73AAF"/>
    <w:rsid w:val="00C76874"/>
    <w:rsid w:val="00C76E7C"/>
    <w:rsid w:val="00C81613"/>
    <w:rsid w:val="00C83EA4"/>
    <w:rsid w:val="00C84B7F"/>
    <w:rsid w:val="00C8520A"/>
    <w:rsid w:val="00C86823"/>
    <w:rsid w:val="00C9098F"/>
    <w:rsid w:val="00C92DB0"/>
    <w:rsid w:val="00C93EAA"/>
    <w:rsid w:val="00C943C1"/>
    <w:rsid w:val="00C94DCD"/>
    <w:rsid w:val="00C95BD4"/>
    <w:rsid w:val="00C96312"/>
    <w:rsid w:val="00C9763D"/>
    <w:rsid w:val="00C9774A"/>
    <w:rsid w:val="00CA147F"/>
    <w:rsid w:val="00CA1BE8"/>
    <w:rsid w:val="00CA2DF1"/>
    <w:rsid w:val="00CA4627"/>
    <w:rsid w:val="00CA4B81"/>
    <w:rsid w:val="00CB1303"/>
    <w:rsid w:val="00CB31EC"/>
    <w:rsid w:val="00CB3F1D"/>
    <w:rsid w:val="00CB64B2"/>
    <w:rsid w:val="00CB6A03"/>
    <w:rsid w:val="00CB74C6"/>
    <w:rsid w:val="00CC35D6"/>
    <w:rsid w:val="00CC40F5"/>
    <w:rsid w:val="00CC4171"/>
    <w:rsid w:val="00CC47D6"/>
    <w:rsid w:val="00CC52A0"/>
    <w:rsid w:val="00CC5ABA"/>
    <w:rsid w:val="00CC63CB"/>
    <w:rsid w:val="00CD0663"/>
    <w:rsid w:val="00CD1B13"/>
    <w:rsid w:val="00CD21E2"/>
    <w:rsid w:val="00CD2467"/>
    <w:rsid w:val="00CD4467"/>
    <w:rsid w:val="00CD4DFB"/>
    <w:rsid w:val="00CD4F1D"/>
    <w:rsid w:val="00CD5FE2"/>
    <w:rsid w:val="00CE0375"/>
    <w:rsid w:val="00CE0A3C"/>
    <w:rsid w:val="00CE0A64"/>
    <w:rsid w:val="00CE1400"/>
    <w:rsid w:val="00CE1AAF"/>
    <w:rsid w:val="00CE2BFA"/>
    <w:rsid w:val="00CF60B5"/>
    <w:rsid w:val="00CF72F4"/>
    <w:rsid w:val="00D02A8C"/>
    <w:rsid w:val="00D02F38"/>
    <w:rsid w:val="00D03827"/>
    <w:rsid w:val="00D0595D"/>
    <w:rsid w:val="00D05DE8"/>
    <w:rsid w:val="00D10610"/>
    <w:rsid w:val="00D12B43"/>
    <w:rsid w:val="00D12FC0"/>
    <w:rsid w:val="00D15F46"/>
    <w:rsid w:val="00D16824"/>
    <w:rsid w:val="00D22FE3"/>
    <w:rsid w:val="00D252CB"/>
    <w:rsid w:val="00D31827"/>
    <w:rsid w:val="00D332AB"/>
    <w:rsid w:val="00D336F0"/>
    <w:rsid w:val="00D33FB6"/>
    <w:rsid w:val="00D3500F"/>
    <w:rsid w:val="00D35BD2"/>
    <w:rsid w:val="00D371B3"/>
    <w:rsid w:val="00D40BC0"/>
    <w:rsid w:val="00D43935"/>
    <w:rsid w:val="00D43CDC"/>
    <w:rsid w:val="00D4653F"/>
    <w:rsid w:val="00D476AE"/>
    <w:rsid w:val="00D50F88"/>
    <w:rsid w:val="00D52AB6"/>
    <w:rsid w:val="00D5391C"/>
    <w:rsid w:val="00D55136"/>
    <w:rsid w:val="00D55F3B"/>
    <w:rsid w:val="00D57FDC"/>
    <w:rsid w:val="00D60132"/>
    <w:rsid w:val="00D603D1"/>
    <w:rsid w:val="00D60A2E"/>
    <w:rsid w:val="00D61FDD"/>
    <w:rsid w:val="00D62274"/>
    <w:rsid w:val="00D6646A"/>
    <w:rsid w:val="00D66893"/>
    <w:rsid w:val="00D7166D"/>
    <w:rsid w:val="00D71C35"/>
    <w:rsid w:val="00D756D2"/>
    <w:rsid w:val="00D75E88"/>
    <w:rsid w:val="00D77951"/>
    <w:rsid w:val="00D77D17"/>
    <w:rsid w:val="00D80D3B"/>
    <w:rsid w:val="00D827F7"/>
    <w:rsid w:val="00D82AB0"/>
    <w:rsid w:val="00D82BCB"/>
    <w:rsid w:val="00D82D97"/>
    <w:rsid w:val="00D8339E"/>
    <w:rsid w:val="00D83545"/>
    <w:rsid w:val="00D837C9"/>
    <w:rsid w:val="00D850F0"/>
    <w:rsid w:val="00D852CC"/>
    <w:rsid w:val="00D855DF"/>
    <w:rsid w:val="00D87E6C"/>
    <w:rsid w:val="00D927BD"/>
    <w:rsid w:val="00D956E1"/>
    <w:rsid w:val="00D9625C"/>
    <w:rsid w:val="00D965B2"/>
    <w:rsid w:val="00D96CEC"/>
    <w:rsid w:val="00DA151F"/>
    <w:rsid w:val="00DA1AF1"/>
    <w:rsid w:val="00DA2C9F"/>
    <w:rsid w:val="00DA400C"/>
    <w:rsid w:val="00DB0988"/>
    <w:rsid w:val="00DB0DC2"/>
    <w:rsid w:val="00DB1258"/>
    <w:rsid w:val="00DB15B2"/>
    <w:rsid w:val="00DB38F3"/>
    <w:rsid w:val="00DB602D"/>
    <w:rsid w:val="00DC0CF1"/>
    <w:rsid w:val="00DC1120"/>
    <w:rsid w:val="00DC53B9"/>
    <w:rsid w:val="00DD1BFC"/>
    <w:rsid w:val="00DD1EAE"/>
    <w:rsid w:val="00DD201E"/>
    <w:rsid w:val="00DD3C56"/>
    <w:rsid w:val="00DD40BD"/>
    <w:rsid w:val="00DD447F"/>
    <w:rsid w:val="00DD561F"/>
    <w:rsid w:val="00DD6505"/>
    <w:rsid w:val="00DD6CB4"/>
    <w:rsid w:val="00DD6ED6"/>
    <w:rsid w:val="00DE12FD"/>
    <w:rsid w:val="00DE16F2"/>
    <w:rsid w:val="00DE26C6"/>
    <w:rsid w:val="00DE341F"/>
    <w:rsid w:val="00DE4B44"/>
    <w:rsid w:val="00DE6323"/>
    <w:rsid w:val="00DF01A2"/>
    <w:rsid w:val="00DF248C"/>
    <w:rsid w:val="00DF2CCC"/>
    <w:rsid w:val="00DF3FD7"/>
    <w:rsid w:val="00E01B02"/>
    <w:rsid w:val="00E01B9A"/>
    <w:rsid w:val="00E03633"/>
    <w:rsid w:val="00E0399B"/>
    <w:rsid w:val="00E05BD1"/>
    <w:rsid w:val="00E104B7"/>
    <w:rsid w:val="00E10C64"/>
    <w:rsid w:val="00E10FFC"/>
    <w:rsid w:val="00E1127A"/>
    <w:rsid w:val="00E1287E"/>
    <w:rsid w:val="00E12D9B"/>
    <w:rsid w:val="00E1656E"/>
    <w:rsid w:val="00E20532"/>
    <w:rsid w:val="00E229C3"/>
    <w:rsid w:val="00E261A3"/>
    <w:rsid w:val="00E27E25"/>
    <w:rsid w:val="00E304DD"/>
    <w:rsid w:val="00E31F06"/>
    <w:rsid w:val="00E363DC"/>
    <w:rsid w:val="00E37BA9"/>
    <w:rsid w:val="00E37EF1"/>
    <w:rsid w:val="00E401FF"/>
    <w:rsid w:val="00E4156C"/>
    <w:rsid w:val="00E41FFA"/>
    <w:rsid w:val="00E43545"/>
    <w:rsid w:val="00E43BA3"/>
    <w:rsid w:val="00E43EF7"/>
    <w:rsid w:val="00E448E2"/>
    <w:rsid w:val="00E474E8"/>
    <w:rsid w:val="00E521F7"/>
    <w:rsid w:val="00E536CE"/>
    <w:rsid w:val="00E54AE1"/>
    <w:rsid w:val="00E54E09"/>
    <w:rsid w:val="00E55FC6"/>
    <w:rsid w:val="00E564E3"/>
    <w:rsid w:val="00E56A64"/>
    <w:rsid w:val="00E61144"/>
    <w:rsid w:val="00E6151E"/>
    <w:rsid w:val="00E62860"/>
    <w:rsid w:val="00E63ECB"/>
    <w:rsid w:val="00E70ACA"/>
    <w:rsid w:val="00E70D5B"/>
    <w:rsid w:val="00E712F4"/>
    <w:rsid w:val="00E71BA6"/>
    <w:rsid w:val="00E7275C"/>
    <w:rsid w:val="00E7327D"/>
    <w:rsid w:val="00E762FE"/>
    <w:rsid w:val="00E77E73"/>
    <w:rsid w:val="00E813AA"/>
    <w:rsid w:val="00E827C3"/>
    <w:rsid w:val="00E83171"/>
    <w:rsid w:val="00E836BF"/>
    <w:rsid w:val="00E83B4B"/>
    <w:rsid w:val="00E83E02"/>
    <w:rsid w:val="00E8442D"/>
    <w:rsid w:val="00E86983"/>
    <w:rsid w:val="00E87E5C"/>
    <w:rsid w:val="00E9012F"/>
    <w:rsid w:val="00E91EF3"/>
    <w:rsid w:val="00E925EB"/>
    <w:rsid w:val="00E92A30"/>
    <w:rsid w:val="00E9507D"/>
    <w:rsid w:val="00E95B57"/>
    <w:rsid w:val="00E95BE1"/>
    <w:rsid w:val="00E9652A"/>
    <w:rsid w:val="00E9684F"/>
    <w:rsid w:val="00E972E7"/>
    <w:rsid w:val="00E9750D"/>
    <w:rsid w:val="00E97541"/>
    <w:rsid w:val="00EA0959"/>
    <w:rsid w:val="00EA0B6A"/>
    <w:rsid w:val="00EA145B"/>
    <w:rsid w:val="00EA567C"/>
    <w:rsid w:val="00EA64A1"/>
    <w:rsid w:val="00EA6E1A"/>
    <w:rsid w:val="00EA7C2A"/>
    <w:rsid w:val="00EA7FB3"/>
    <w:rsid w:val="00EB18D9"/>
    <w:rsid w:val="00EB2758"/>
    <w:rsid w:val="00EB47AC"/>
    <w:rsid w:val="00EB66A6"/>
    <w:rsid w:val="00EC070F"/>
    <w:rsid w:val="00EC227A"/>
    <w:rsid w:val="00EC2C66"/>
    <w:rsid w:val="00EC3534"/>
    <w:rsid w:val="00EC3933"/>
    <w:rsid w:val="00EC65A3"/>
    <w:rsid w:val="00EC7147"/>
    <w:rsid w:val="00ED01AE"/>
    <w:rsid w:val="00ED2C5C"/>
    <w:rsid w:val="00ED34A3"/>
    <w:rsid w:val="00ED5A96"/>
    <w:rsid w:val="00ED7C80"/>
    <w:rsid w:val="00EE00D1"/>
    <w:rsid w:val="00EE1193"/>
    <w:rsid w:val="00EE1C34"/>
    <w:rsid w:val="00EE1D22"/>
    <w:rsid w:val="00EE4B6C"/>
    <w:rsid w:val="00EE5105"/>
    <w:rsid w:val="00EE5840"/>
    <w:rsid w:val="00EF08C5"/>
    <w:rsid w:val="00EF0906"/>
    <w:rsid w:val="00EF5176"/>
    <w:rsid w:val="00EF76C7"/>
    <w:rsid w:val="00F006D1"/>
    <w:rsid w:val="00F019C8"/>
    <w:rsid w:val="00F029E6"/>
    <w:rsid w:val="00F02A74"/>
    <w:rsid w:val="00F02E93"/>
    <w:rsid w:val="00F0515B"/>
    <w:rsid w:val="00F06641"/>
    <w:rsid w:val="00F06667"/>
    <w:rsid w:val="00F076E0"/>
    <w:rsid w:val="00F07CF8"/>
    <w:rsid w:val="00F10840"/>
    <w:rsid w:val="00F109FC"/>
    <w:rsid w:val="00F10C91"/>
    <w:rsid w:val="00F1448F"/>
    <w:rsid w:val="00F17569"/>
    <w:rsid w:val="00F21282"/>
    <w:rsid w:val="00F213E9"/>
    <w:rsid w:val="00F22079"/>
    <w:rsid w:val="00F2382D"/>
    <w:rsid w:val="00F23924"/>
    <w:rsid w:val="00F23B64"/>
    <w:rsid w:val="00F310F7"/>
    <w:rsid w:val="00F330B0"/>
    <w:rsid w:val="00F3344A"/>
    <w:rsid w:val="00F33775"/>
    <w:rsid w:val="00F337A5"/>
    <w:rsid w:val="00F338B6"/>
    <w:rsid w:val="00F346D4"/>
    <w:rsid w:val="00F34B84"/>
    <w:rsid w:val="00F36AE4"/>
    <w:rsid w:val="00F40BC4"/>
    <w:rsid w:val="00F40E01"/>
    <w:rsid w:val="00F426F3"/>
    <w:rsid w:val="00F434C5"/>
    <w:rsid w:val="00F474EC"/>
    <w:rsid w:val="00F51B35"/>
    <w:rsid w:val="00F51E2F"/>
    <w:rsid w:val="00F51F9D"/>
    <w:rsid w:val="00F5392C"/>
    <w:rsid w:val="00F53C3C"/>
    <w:rsid w:val="00F62FF1"/>
    <w:rsid w:val="00F631D8"/>
    <w:rsid w:val="00F64CE9"/>
    <w:rsid w:val="00F65A51"/>
    <w:rsid w:val="00F67967"/>
    <w:rsid w:val="00F70FBD"/>
    <w:rsid w:val="00F71755"/>
    <w:rsid w:val="00F73E61"/>
    <w:rsid w:val="00F74091"/>
    <w:rsid w:val="00F76371"/>
    <w:rsid w:val="00F76CBF"/>
    <w:rsid w:val="00F77895"/>
    <w:rsid w:val="00F8108F"/>
    <w:rsid w:val="00F81B18"/>
    <w:rsid w:val="00F82F4A"/>
    <w:rsid w:val="00F84569"/>
    <w:rsid w:val="00F84A7C"/>
    <w:rsid w:val="00F864D5"/>
    <w:rsid w:val="00F92BD4"/>
    <w:rsid w:val="00F932DA"/>
    <w:rsid w:val="00F95B97"/>
    <w:rsid w:val="00F977F5"/>
    <w:rsid w:val="00FA0B9D"/>
    <w:rsid w:val="00FA1C5D"/>
    <w:rsid w:val="00FA32B8"/>
    <w:rsid w:val="00FA56D9"/>
    <w:rsid w:val="00FB0993"/>
    <w:rsid w:val="00FB1A56"/>
    <w:rsid w:val="00FB4EE8"/>
    <w:rsid w:val="00FB6E8F"/>
    <w:rsid w:val="00FB78B0"/>
    <w:rsid w:val="00FB7D4A"/>
    <w:rsid w:val="00FC4560"/>
    <w:rsid w:val="00FC609F"/>
    <w:rsid w:val="00FC7800"/>
    <w:rsid w:val="00FC79B0"/>
    <w:rsid w:val="00FD1CDF"/>
    <w:rsid w:val="00FD26DB"/>
    <w:rsid w:val="00FD3B25"/>
    <w:rsid w:val="00FD7720"/>
    <w:rsid w:val="00FE0051"/>
    <w:rsid w:val="00FE3EFF"/>
    <w:rsid w:val="00FE5AC3"/>
    <w:rsid w:val="00FE5EF5"/>
    <w:rsid w:val="00FE7B45"/>
    <w:rsid w:val="00FF0DD8"/>
    <w:rsid w:val="00FF0F70"/>
    <w:rsid w:val="00FF1930"/>
    <w:rsid w:val="00FF2828"/>
    <w:rsid w:val="00FF35B2"/>
    <w:rsid w:val="00FF4624"/>
    <w:rsid w:val="00FF54BD"/>
    <w:rsid w:val="00FF56EB"/>
    <w:rsid w:val="00FF6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40C24629"/>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D22FE3"/>
    <w:pPr>
      <w:spacing w:before="0" w:after="0"/>
    </w:pPr>
    <w:rPr>
      <w:sz w:val="20"/>
      <w:szCs w:val="20"/>
    </w:rPr>
  </w:style>
  <w:style w:type="character" w:customStyle="1" w:styleId="FootnoteTextChar">
    <w:name w:val="Footnote Text Char"/>
    <w:basedOn w:val="DefaultParagraphFont"/>
    <w:link w:val="FootnoteText"/>
    <w:semiHidden/>
    <w:rsid w:val="00D22FE3"/>
    <w:rPr>
      <w:rFonts w:ascii="Arial" w:hAnsi="Arial"/>
    </w:rPr>
  </w:style>
  <w:style w:type="character" w:styleId="FootnoteReference">
    <w:name w:val="footnote reference"/>
    <w:basedOn w:val="DefaultParagraphFont"/>
    <w:semiHidden/>
    <w:unhideWhenUsed/>
    <w:rsid w:val="00D22FE3"/>
    <w:rPr>
      <w:vertAlign w:val="superscript"/>
    </w:rPr>
  </w:style>
  <w:style w:type="table" w:styleId="TableGrid">
    <w:name w:val="Table Grid"/>
    <w:basedOn w:val="TableNormal"/>
    <w:rsid w:val="00D2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52CC"/>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328">
      <w:bodyDiv w:val="1"/>
      <w:marLeft w:val="0"/>
      <w:marRight w:val="0"/>
      <w:marTop w:val="0"/>
      <w:marBottom w:val="0"/>
      <w:divBdr>
        <w:top w:val="none" w:sz="0" w:space="0" w:color="auto"/>
        <w:left w:val="none" w:sz="0" w:space="0" w:color="auto"/>
        <w:bottom w:val="none" w:sz="0" w:space="0" w:color="auto"/>
        <w:right w:val="none" w:sz="0" w:space="0" w:color="auto"/>
      </w:divBdr>
    </w:div>
    <w:div w:id="87625417">
      <w:bodyDiv w:val="1"/>
      <w:marLeft w:val="0"/>
      <w:marRight w:val="0"/>
      <w:marTop w:val="0"/>
      <w:marBottom w:val="0"/>
      <w:divBdr>
        <w:top w:val="none" w:sz="0" w:space="0" w:color="auto"/>
        <w:left w:val="none" w:sz="0" w:space="0" w:color="auto"/>
        <w:bottom w:val="none" w:sz="0" w:space="0" w:color="auto"/>
        <w:right w:val="none" w:sz="0" w:space="0" w:color="auto"/>
      </w:divBdr>
    </w:div>
    <w:div w:id="120193104">
      <w:bodyDiv w:val="1"/>
      <w:marLeft w:val="0"/>
      <w:marRight w:val="0"/>
      <w:marTop w:val="0"/>
      <w:marBottom w:val="0"/>
      <w:divBdr>
        <w:top w:val="none" w:sz="0" w:space="0" w:color="auto"/>
        <w:left w:val="none" w:sz="0" w:space="0" w:color="auto"/>
        <w:bottom w:val="none" w:sz="0" w:space="0" w:color="auto"/>
        <w:right w:val="none" w:sz="0" w:space="0" w:color="auto"/>
      </w:divBdr>
    </w:div>
    <w:div w:id="200437354">
      <w:bodyDiv w:val="1"/>
      <w:marLeft w:val="0"/>
      <w:marRight w:val="0"/>
      <w:marTop w:val="0"/>
      <w:marBottom w:val="0"/>
      <w:divBdr>
        <w:top w:val="none" w:sz="0" w:space="0" w:color="auto"/>
        <w:left w:val="none" w:sz="0" w:space="0" w:color="auto"/>
        <w:bottom w:val="none" w:sz="0" w:space="0" w:color="auto"/>
        <w:right w:val="none" w:sz="0" w:space="0" w:color="auto"/>
      </w:divBdr>
    </w:div>
    <w:div w:id="265624183">
      <w:bodyDiv w:val="1"/>
      <w:marLeft w:val="0"/>
      <w:marRight w:val="0"/>
      <w:marTop w:val="0"/>
      <w:marBottom w:val="0"/>
      <w:divBdr>
        <w:top w:val="none" w:sz="0" w:space="0" w:color="auto"/>
        <w:left w:val="none" w:sz="0" w:space="0" w:color="auto"/>
        <w:bottom w:val="none" w:sz="0" w:space="0" w:color="auto"/>
        <w:right w:val="none" w:sz="0" w:space="0" w:color="auto"/>
      </w:divBdr>
    </w:div>
    <w:div w:id="288053662">
      <w:bodyDiv w:val="1"/>
      <w:marLeft w:val="0"/>
      <w:marRight w:val="0"/>
      <w:marTop w:val="0"/>
      <w:marBottom w:val="0"/>
      <w:divBdr>
        <w:top w:val="none" w:sz="0" w:space="0" w:color="auto"/>
        <w:left w:val="none" w:sz="0" w:space="0" w:color="auto"/>
        <w:bottom w:val="none" w:sz="0" w:space="0" w:color="auto"/>
        <w:right w:val="none" w:sz="0" w:space="0" w:color="auto"/>
      </w:divBdr>
    </w:div>
    <w:div w:id="383141603">
      <w:bodyDiv w:val="1"/>
      <w:marLeft w:val="0"/>
      <w:marRight w:val="0"/>
      <w:marTop w:val="0"/>
      <w:marBottom w:val="0"/>
      <w:divBdr>
        <w:top w:val="none" w:sz="0" w:space="0" w:color="auto"/>
        <w:left w:val="none" w:sz="0" w:space="0" w:color="auto"/>
        <w:bottom w:val="none" w:sz="0" w:space="0" w:color="auto"/>
        <w:right w:val="none" w:sz="0" w:space="0" w:color="auto"/>
      </w:divBdr>
    </w:div>
    <w:div w:id="388840542">
      <w:bodyDiv w:val="1"/>
      <w:marLeft w:val="0"/>
      <w:marRight w:val="0"/>
      <w:marTop w:val="0"/>
      <w:marBottom w:val="0"/>
      <w:divBdr>
        <w:top w:val="none" w:sz="0" w:space="0" w:color="auto"/>
        <w:left w:val="none" w:sz="0" w:space="0" w:color="auto"/>
        <w:bottom w:val="none" w:sz="0" w:space="0" w:color="auto"/>
        <w:right w:val="none" w:sz="0" w:space="0" w:color="auto"/>
      </w:divBdr>
    </w:div>
    <w:div w:id="495846401">
      <w:bodyDiv w:val="1"/>
      <w:marLeft w:val="0"/>
      <w:marRight w:val="0"/>
      <w:marTop w:val="0"/>
      <w:marBottom w:val="0"/>
      <w:divBdr>
        <w:top w:val="none" w:sz="0" w:space="0" w:color="auto"/>
        <w:left w:val="none" w:sz="0" w:space="0" w:color="auto"/>
        <w:bottom w:val="none" w:sz="0" w:space="0" w:color="auto"/>
        <w:right w:val="none" w:sz="0" w:space="0" w:color="auto"/>
      </w:divBdr>
    </w:div>
    <w:div w:id="535657066">
      <w:bodyDiv w:val="1"/>
      <w:marLeft w:val="0"/>
      <w:marRight w:val="0"/>
      <w:marTop w:val="0"/>
      <w:marBottom w:val="0"/>
      <w:divBdr>
        <w:top w:val="none" w:sz="0" w:space="0" w:color="auto"/>
        <w:left w:val="none" w:sz="0" w:space="0" w:color="auto"/>
        <w:bottom w:val="none" w:sz="0" w:space="0" w:color="auto"/>
        <w:right w:val="none" w:sz="0" w:space="0" w:color="auto"/>
      </w:divBdr>
    </w:div>
    <w:div w:id="541986279">
      <w:bodyDiv w:val="1"/>
      <w:marLeft w:val="0"/>
      <w:marRight w:val="0"/>
      <w:marTop w:val="0"/>
      <w:marBottom w:val="0"/>
      <w:divBdr>
        <w:top w:val="none" w:sz="0" w:space="0" w:color="auto"/>
        <w:left w:val="none" w:sz="0" w:space="0" w:color="auto"/>
        <w:bottom w:val="none" w:sz="0" w:space="0" w:color="auto"/>
        <w:right w:val="none" w:sz="0" w:space="0" w:color="auto"/>
      </w:divBdr>
    </w:div>
    <w:div w:id="591085222">
      <w:bodyDiv w:val="1"/>
      <w:marLeft w:val="0"/>
      <w:marRight w:val="0"/>
      <w:marTop w:val="0"/>
      <w:marBottom w:val="0"/>
      <w:divBdr>
        <w:top w:val="none" w:sz="0" w:space="0" w:color="auto"/>
        <w:left w:val="none" w:sz="0" w:space="0" w:color="auto"/>
        <w:bottom w:val="none" w:sz="0" w:space="0" w:color="auto"/>
        <w:right w:val="none" w:sz="0" w:space="0" w:color="auto"/>
      </w:divBdr>
    </w:div>
    <w:div w:id="606356511">
      <w:bodyDiv w:val="1"/>
      <w:marLeft w:val="0"/>
      <w:marRight w:val="0"/>
      <w:marTop w:val="0"/>
      <w:marBottom w:val="0"/>
      <w:divBdr>
        <w:top w:val="none" w:sz="0" w:space="0" w:color="auto"/>
        <w:left w:val="none" w:sz="0" w:space="0" w:color="auto"/>
        <w:bottom w:val="none" w:sz="0" w:space="0" w:color="auto"/>
        <w:right w:val="none" w:sz="0" w:space="0" w:color="auto"/>
      </w:divBdr>
    </w:div>
    <w:div w:id="662667122">
      <w:bodyDiv w:val="1"/>
      <w:marLeft w:val="0"/>
      <w:marRight w:val="0"/>
      <w:marTop w:val="0"/>
      <w:marBottom w:val="0"/>
      <w:divBdr>
        <w:top w:val="none" w:sz="0" w:space="0" w:color="auto"/>
        <w:left w:val="none" w:sz="0" w:space="0" w:color="auto"/>
        <w:bottom w:val="none" w:sz="0" w:space="0" w:color="auto"/>
        <w:right w:val="none" w:sz="0" w:space="0" w:color="auto"/>
      </w:divBdr>
    </w:div>
    <w:div w:id="811555045">
      <w:bodyDiv w:val="1"/>
      <w:marLeft w:val="0"/>
      <w:marRight w:val="0"/>
      <w:marTop w:val="0"/>
      <w:marBottom w:val="0"/>
      <w:divBdr>
        <w:top w:val="none" w:sz="0" w:space="0" w:color="auto"/>
        <w:left w:val="none" w:sz="0" w:space="0" w:color="auto"/>
        <w:bottom w:val="none" w:sz="0" w:space="0" w:color="auto"/>
        <w:right w:val="none" w:sz="0" w:space="0" w:color="auto"/>
      </w:divBdr>
    </w:div>
    <w:div w:id="849488328">
      <w:bodyDiv w:val="1"/>
      <w:marLeft w:val="0"/>
      <w:marRight w:val="0"/>
      <w:marTop w:val="0"/>
      <w:marBottom w:val="0"/>
      <w:divBdr>
        <w:top w:val="none" w:sz="0" w:space="0" w:color="auto"/>
        <w:left w:val="none" w:sz="0" w:space="0" w:color="auto"/>
        <w:bottom w:val="none" w:sz="0" w:space="0" w:color="auto"/>
        <w:right w:val="none" w:sz="0" w:space="0" w:color="auto"/>
      </w:divBdr>
    </w:div>
    <w:div w:id="932972599">
      <w:bodyDiv w:val="1"/>
      <w:marLeft w:val="0"/>
      <w:marRight w:val="0"/>
      <w:marTop w:val="0"/>
      <w:marBottom w:val="0"/>
      <w:divBdr>
        <w:top w:val="none" w:sz="0" w:space="0" w:color="auto"/>
        <w:left w:val="none" w:sz="0" w:space="0" w:color="auto"/>
        <w:bottom w:val="none" w:sz="0" w:space="0" w:color="auto"/>
        <w:right w:val="none" w:sz="0" w:space="0" w:color="auto"/>
      </w:divBdr>
    </w:div>
    <w:div w:id="976639841">
      <w:bodyDiv w:val="1"/>
      <w:marLeft w:val="0"/>
      <w:marRight w:val="0"/>
      <w:marTop w:val="0"/>
      <w:marBottom w:val="0"/>
      <w:divBdr>
        <w:top w:val="none" w:sz="0" w:space="0" w:color="auto"/>
        <w:left w:val="none" w:sz="0" w:space="0" w:color="auto"/>
        <w:bottom w:val="none" w:sz="0" w:space="0" w:color="auto"/>
        <w:right w:val="none" w:sz="0" w:space="0" w:color="auto"/>
      </w:divBdr>
    </w:div>
    <w:div w:id="996304025">
      <w:bodyDiv w:val="1"/>
      <w:marLeft w:val="0"/>
      <w:marRight w:val="0"/>
      <w:marTop w:val="0"/>
      <w:marBottom w:val="0"/>
      <w:divBdr>
        <w:top w:val="none" w:sz="0" w:space="0" w:color="auto"/>
        <w:left w:val="none" w:sz="0" w:space="0" w:color="auto"/>
        <w:bottom w:val="none" w:sz="0" w:space="0" w:color="auto"/>
        <w:right w:val="none" w:sz="0" w:space="0" w:color="auto"/>
      </w:divBdr>
    </w:div>
    <w:div w:id="1022171603">
      <w:bodyDiv w:val="1"/>
      <w:marLeft w:val="0"/>
      <w:marRight w:val="0"/>
      <w:marTop w:val="0"/>
      <w:marBottom w:val="0"/>
      <w:divBdr>
        <w:top w:val="none" w:sz="0" w:space="0" w:color="auto"/>
        <w:left w:val="none" w:sz="0" w:space="0" w:color="auto"/>
        <w:bottom w:val="none" w:sz="0" w:space="0" w:color="auto"/>
        <w:right w:val="none" w:sz="0" w:space="0" w:color="auto"/>
      </w:divBdr>
    </w:div>
    <w:div w:id="1086616544">
      <w:bodyDiv w:val="1"/>
      <w:marLeft w:val="0"/>
      <w:marRight w:val="0"/>
      <w:marTop w:val="0"/>
      <w:marBottom w:val="0"/>
      <w:divBdr>
        <w:top w:val="none" w:sz="0" w:space="0" w:color="auto"/>
        <w:left w:val="none" w:sz="0" w:space="0" w:color="auto"/>
        <w:bottom w:val="none" w:sz="0" w:space="0" w:color="auto"/>
        <w:right w:val="none" w:sz="0" w:space="0" w:color="auto"/>
      </w:divBdr>
    </w:div>
    <w:div w:id="1093207288">
      <w:bodyDiv w:val="1"/>
      <w:marLeft w:val="0"/>
      <w:marRight w:val="0"/>
      <w:marTop w:val="0"/>
      <w:marBottom w:val="0"/>
      <w:divBdr>
        <w:top w:val="none" w:sz="0" w:space="0" w:color="auto"/>
        <w:left w:val="none" w:sz="0" w:space="0" w:color="auto"/>
        <w:bottom w:val="none" w:sz="0" w:space="0" w:color="auto"/>
        <w:right w:val="none" w:sz="0" w:space="0" w:color="auto"/>
      </w:divBdr>
    </w:div>
    <w:div w:id="1156189196">
      <w:bodyDiv w:val="1"/>
      <w:marLeft w:val="0"/>
      <w:marRight w:val="0"/>
      <w:marTop w:val="0"/>
      <w:marBottom w:val="0"/>
      <w:divBdr>
        <w:top w:val="none" w:sz="0" w:space="0" w:color="auto"/>
        <w:left w:val="none" w:sz="0" w:space="0" w:color="auto"/>
        <w:bottom w:val="none" w:sz="0" w:space="0" w:color="auto"/>
        <w:right w:val="none" w:sz="0" w:space="0" w:color="auto"/>
      </w:divBdr>
    </w:div>
    <w:div w:id="1258054712">
      <w:bodyDiv w:val="1"/>
      <w:marLeft w:val="0"/>
      <w:marRight w:val="0"/>
      <w:marTop w:val="0"/>
      <w:marBottom w:val="0"/>
      <w:divBdr>
        <w:top w:val="none" w:sz="0" w:space="0" w:color="auto"/>
        <w:left w:val="none" w:sz="0" w:space="0" w:color="auto"/>
        <w:bottom w:val="none" w:sz="0" w:space="0" w:color="auto"/>
        <w:right w:val="none" w:sz="0" w:space="0" w:color="auto"/>
      </w:divBdr>
    </w:div>
    <w:div w:id="1348362629">
      <w:bodyDiv w:val="1"/>
      <w:marLeft w:val="0"/>
      <w:marRight w:val="0"/>
      <w:marTop w:val="0"/>
      <w:marBottom w:val="0"/>
      <w:divBdr>
        <w:top w:val="none" w:sz="0" w:space="0" w:color="auto"/>
        <w:left w:val="none" w:sz="0" w:space="0" w:color="auto"/>
        <w:bottom w:val="none" w:sz="0" w:space="0" w:color="auto"/>
        <w:right w:val="none" w:sz="0" w:space="0" w:color="auto"/>
      </w:divBdr>
    </w:div>
    <w:div w:id="1381057452">
      <w:bodyDiv w:val="1"/>
      <w:marLeft w:val="0"/>
      <w:marRight w:val="0"/>
      <w:marTop w:val="0"/>
      <w:marBottom w:val="0"/>
      <w:divBdr>
        <w:top w:val="none" w:sz="0" w:space="0" w:color="auto"/>
        <w:left w:val="none" w:sz="0" w:space="0" w:color="auto"/>
        <w:bottom w:val="none" w:sz="0" w:space="0" w:color="auto"/>
        <w:right w:val="none" w:sz="0" w:space="0" w:color="auto"/>
      </w:divBdr>
    </w:div>
    <w:div w:id="1528368188">
      <w:bodyDiv w:val="1"/>
      <w:marLeft w:val="0"/>
      <w:marRight w:val="0"/>
      <w:marTop w:val="0"/>
      <w:marBottom w:val="0"/>
      <w:divBdr>
        <w:top w:val="none" w:sz="0" w:space="0" w:color="auto"/>
        <w:left w:val="none" w:sz="0" w:space="0" w:color="auto"/>
        <w:bottom w:val="none" w:sz="0" w:space="0" w:color="auto"/>
        <w:right w:val="none" w:sz="0" w:space="0" w:color="auto"/>
      </w:divBdr>
    </w:div>
    <w:div w:id="1554805907">
      <w:bodyDiv w:val="1"/>
      <w:marLeft w:val="0"/>
      <w:marRight w:val="0"/>
      <w:marTop w:val="0"/>
      <w:marBottom w:val="0"/>
      <w:divBdr>
        <w:top w:val="none" w:sz="0" w:space="0" w:color="auto"/>
        <w:left w:val="none" w:sz="0" w:space="0" w:color="auto"/>
        <w:bottom w:val="none" w:sz="0" w:space="0" w:color="auto"/>
        <w:right w:val="none" w:sz="0" w:space="0" w:color="auto"/>
      </w:divBdr>
    </w:div>
    <w:div w:id="1566062962">
      <w:bodyDiv w:val="1"/>
      <w:marLeft w:val="0"/>
      <w:marRight w:val="0"/>
      <w:marTop w:val="0"/>
      <w:marBottom w:val="0"/>
      <w:divBdr>
        <w:top w:val="none" w:sz="0" w:space="0" w:color="auto"/>
        <w:left w:val="none" w:sz="0" w:space="0" w:color="auto"/>
        <w:bottom w:val="none" w:sz="0" w:space="0" w:color="auto"/>
        <w:right w:val="none" w:sz="0" w:space="0" w:color="auto"/>
      </w:divBdr>
    </w:div>
    <w:div w:id="1611477113">
      <w:bodyDiv w:val="1"/>
      <w:marLeft w:val="0"/>
      <w:marRight w:val="0"/>
      <w:marTop w:val="0"/>
      <w:marBottom w:val="0"/>
      <w:divBdr>
        <w:top w:val="none" w:sz="0" w:space="0" w:color="auto"/>
        <w:left w:val="none" w:sz="0" w:space="0" w:color="auto"/>
        <w:bottom w:val="none" w:sz="0" w:space="0" w:color="auto"/>
        <w:right w:val="none" w:sz="0" w:space="0" w:color="auto"/>
      </w:divBdr>
    </w:div>
    <w:div w:id="1613322608">
      <w:bodyDiv w:val="1"/>
      <w:marLeft w:val="0"/>
      <w:marRight w:val="0"/>
      <w:marTop w:val="0"/>
      <w:marBottom w:val="0"/>
      <w:divBdr>
        <w:top w:val="none" w:sz="0" w:space="0" w:color="auto"/>
        <w:left w:val="none" w:sz="0" w:space="0" w:color="auto"/>
        <w:bottom w:val="none" w:sz="0" w:space="0" w:color="auto"/>
        <w:right w:val="none" w:sz="0" w:space="0" w:color="auto"/>
      </w:divBdr>
    </w:div>
    <w:div w:id="1630235945">
      <w:bodyDiv w:val="1"/>
      <w:marLeft w:val="0"/>
      <w:marRight w:val="0"/>
      <w:marTop w:val="0"/>
      <w:marBottom w:val="0"/>
      <w:divBdr>
        <w:top w:val="none" w:sz="0" w:space="0" w:color="auto"/>
        <w:left w:val="none" w:sz="0" w:space="0" w:color="auto"/>
        <w:bottom w:val="none" w:sz="0" w:space="0" w:color="auto"/>
        <w:right w:val="none" w:sz="0" w:space="0" w:color="auto"/>
      </w:divBdr>
    </w:div>
    <w:div w:id="1671373673">
      <w:bodyDiv w:val="1"/>
      <w:marLeft w:val="0"/>
      <w:marRight w:val="0"/>
      <w:marTop w:val="0"/>
      <w:marBottom w:val="0"/>
      <w:divBdr>
        <w:top w:val="none" w:sz="0" w:space="0" w:color="auto"/>
        <w:left w:val="none" w:sz="0" w:space="0" w:color="auto"/>
        <w:bottom w:val="none" w:sz="0" w:space="0" w:color="auto"/>
        <w:right w:val="none" w:sz="0" w:space="0" w:color="auto"/>
      </w:divBdr>
    </w:div>
    <w:div w:id="1695768479">
      <w:bodyDiv w:val="1"/>
      <w:marLeft w:val="0"/>
      <w:marRight w:val="0"/>
      <w:marTop w:val="0"/>
      <w:marBottom w:val="0"/>
      <w:divBdr>
        <w:top w:val="none" w:sz="0" w:space="0" w:color="auto"/>
        <w:left w:val="none" w:sz="0" w:space="0" w:color="auto"/>
        <w:bottom w:val="none" w:sz="0" w:space="0" w:color="auto"/>
        <w:right w:val="none" w:sz="0" w:space="0" w:color="auto"/>
      </w:divBdr>
    </w:div>
    <w:div w:id="1723167485">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
    <w:div w:id="21039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emf"/><Relationship Id="rId34" Type="http://schemas.openxmlformats.org/officeDocument/2006/relationships/hyperlink" Target="http://www.housing.nsw.gov.au/Centre+For+Affordable+Housing/NSW+Local+Government+Housing+Kit/Local+Government+Housing+Kit+Database/"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hyperlink" Target="http://www.housing.nsw.gov.au/About+Us/Reports+Plans+and+Papers/Rent+and+Sales+Report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hyperlink" Target="https://www.reinsw.com.au/" TargetMode="External"/><Relationship Id="rId8" Type="http://schemas.openxmlformats.org/officeDocument/2006/relationships/image" Target="media/image2.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7.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574</TotalTime>
  <Pages>19</Pages>
  <Words>3802</Words>
  <Characters>19843</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23598</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and East Tablelands - What's happening in the housing market</dc:title>
  <dc:creator>Laura Yan Guo</dc:creator>
  <cp:lastModifiedBy>JOSHUA YOUKHANA</cp:lastModifiedBy>
  <cp:revision>82</cp:revision>
  <cp:lastPrinted>1900-12-31T14:00:00Z</cp:lastPrinted>
  <dcterms:created xsi:type="dcterms:W3CDTF">2022-11-29T02:39:00Z</dcterms:created>
  <dcterms:modified xsi:type="dcterms:W3CDTF">2023-09-13T06:12:00Z</dcterms:modified>
</cp:coreProperties>
</file>