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4AB3" w14:textId="77777777" w:rsidR="0050388E" w:rsidRPr="00CE3DDD" w:rsidRDefault="003E3F20" w:rsidP="0050388E">
      <w:pPr>
        <w:rPr>
          <w:color w:val="008000"/>
          <w:sz w:val="32"/>
        </w:rPr>
      </w:pPr>
      <w:r>
        <w:rPr>
          <w:b/>
          <w:color w:val="008000"/>
          <w:sz w:val="32"/>
        </w:rPr>
        <w:t>Central Coast</w:t>
      </w:r>
      <w:r w:rsidR="0050388E">
        <w:rPr>
          <w:b/>
          <w:color w:val="008000"/>
          <w:sz w:val="32"/>
        </w:rPr>
        <w:t xml:space="preserve"> </w:t>
      </w:r>
      <w:r w:rsidR="0050388E" w:rsidRPr="00CE3DDD">
        <w:rPr>
          <w:b/>
          <w:color w:val="008000"/>
          <w:sz w:val="32"/>
        </w:rPr>
        <w:t xml:space="preserve">– What’s </w:t>
      </w:r>
      <w:r w:rsidR="0050388E">
        <w:rPr>
          <w:b/>
          <w:color w:val="008000"/>
          <w:sz w:val="32"/>
        </w:rPr>
        <w:t xml:space="preserve">Happening in </w:t>
      </w:r>
      <w:r w:rsidR="0050388E" w:rsidRPr="00CE3DDD">
        <w:rPr>
          <w:b/>
          <w:color w:val="008000"/>
          <w:sz w:val="32"/>
        </w:rPr>
        <w:t>the</w:t>
      </w:r>
      <w:r w:rsidR="0050388E">
        <w:rPr>
          <w:b/>
          <w:color w:val="008000"/>
          <w:sz w:val="32"/>
        </w:rPr>
        <w:t xml:space="preserve"> Housing Market</w:t>
      </w:r>
      <w:r w:rsidR="0050388E" w:rsidRPr="00CE3DDD">
        <w:rPr>
          <w:b/>
          <w:color w:val="008000"/>
          <w:sz w:val="32"/>
        </w:rPr>
        <w:t>?</w:t>
      </w:r>
    </w:p>
    <w:p w14:paraId="6C03A4AB" w14:textId="77777777" w:rsidR="0050388E" w:rsidRDefault="0050388E" w:rsidP="0050388E">
      <w:pPr>
        <w:rPr>
          <w:sz w:val="20"/>
          <w:szCs w:val="20"/>
        </w:rPr>
      </w:pPr>
    </w:p>
    <w:p w14:paraId="62D126AF" w14:textId="77777777" w:rsidR="001C30CD" w:rsidRDefault="001C30CD" w:rsidP="001C30CD">
      <w:pPr>
        <w:rPr>
          <w:sz w:val="22"/>
          <w:szCs w:val="22"/>
        </w:rPr>
      </w:pPr>
      <w:r>
        <w:rPr>
          <w:sz w:val="22"/>
          <w:szCs w:val="22"/>
        </w:rPr>
        <w:t xml:space="preserve">This Housing Snapshot looks at aspects of the housing market in the Central Coast, particularly from the 2016 Census to the 2021 Census – including rents, vacancy rate, affordable private rental for very low and low income households, rental stress for low income households, number of new bonds lodged affordable to low income households, sales price, purchase affordability for very low and low income households and purchase stress for low income households. </w:t>
      </w:r>
    </w:p>
    <w:p w14:paraId="0CC5FD71" w14:textId="77777777" w:rsidR="0050388E" w:rsidRDefault="00C725F4" w:rsidP="0050388E">
      <w:pPr>
        <w:rPr>
          <w:sz w:val="22"/>
          <w:szCs w:val="22"/>
        </w:rPr>
      </w:pPr>
      <w:r>
        <w:rPr>
          <w:sz w:val="22"/>
          <w:szCs w:val="22"/>
        </w:rPr>
        <w:t>Located between Sydney and Newcastle, the Central Coast housing market is impacted by both cities and at the same time has much in common with regional NSW</w:t>
      </w:r>
      <w:r w:rsidR="0050388E" w:rsidRPr="0050388E">
        <w:rPr>
          <w:sz w:val="22"/>
          <w:szCs w:val="22"/>
        </w:rPr>
        <w:t xml:space="preserve">.  </w:t>
      </w:r>
      <w:r w:rsidR="0050388E" w:rsidRPr="0001657D">
        <w:rPr>
          <w:sz w:val="22"/>
          <w:szCs w:val="22"/>
        </w:rPr>
        <w:t xml:space="preserve">While </w:t>
      </w:r>
      <w:r>
        <w:rPr>
          <w:sz w:val="22"/>
          <w:szCs w:val="22"/>
        </w:rPr>
        <w:t xml:space="preserve">historically this region has been more affordable than Sydney, there has been strong price growth, tight vacancy rates, a loss of </w:t>
      </w:r>
      <w:r w:rsidR="00181923">
        <w:rPr>
          <w:sz w:val="22"/>
          <w:szCs w:val="22"/>
        </w:rPr>
        <w:t xml:space="preserve">private rental </w:t>
      </w:r>
      <w:r>
        <w:rPr>
          <w:sz w:val="22"/>
          <w:szCs w:val="22"/>
        </w:rPr>
        <w:t xml:space="preserve">affordable housing supply and high demand from the significant number of low income households resident here.  </w:t>
      </w:r>
    </w:p>
    <w:p w14:paraId="229880D0" w14:textId="77777777" w:rsidR="00211D3A" w:rsidRPr="002B2D5B" w:rsidRDefault="00211D3A" w:rsidP="00211D3A">
      <w:pPr>
        <w:rPr>
          <w:sz w:val="22"/>
          <w:szCs w:val="22"/>
        </w:rPr>
      </w:pPr>
      <w:r>
        <w:rPr>
          <w:sz w:val="22"/>
          <w:szCs w:val="22"/>
        </w:rPr>
        <w:t>More recently Covid has had an impact, along with</w:t>
      </w:r>
      <w:r w:rsidR="004851A7">
        <w:rPr>
          <w:sz w:val="22"/>
          <w:szCs w:val="22"/>
        </w:rPr>
        <w:t xml:space="preserve"> insufficient housing supply,</w:t>
      </w:r>
      <w:r>
        <w:rPr>
          <w:sz w:val="22"/>
          <w:szCs w:val="22"/>
        </w:rPr>
        <w:t xml:space="preserve"> </w:t>
      </w:r>
      <w:r w:rsidR="004851A7">
        <w:rPr>
          <w:sz w:val="22"/>
          <w:szCs w:val="22"/>
        </w:rPr>
        <w:t>growing</w:t>
      </w:r>
      <w:r>
        <w:rPr>
          <w:sz w:val="22"/>
          <w:szCs w:val="22"/>
        </w:rPr>
        <w:t xml:space="preserve"> cost of living pressures, including</w:t>
      </w:r>
      <w:r w:rsidRPr="00211D3A">
        <w:rPr>
          <w:sz w:val="22"/>
          <w:szCs w:val="22"/>
        </w:rPr>
        <w:t xml:space="preserve"> </w:t>
      </w:r>
      <w:r>
        <w:rPr>
          <w:sz w:val="22"/>
          <w:szCs w:val="22"/>
        </w:rPr>
        <w:t xml:space="preserve">rising inflation and interest rates with continued low wage growth.  These have created further difficulties for lower income earners and their capacity to manage housing costs.  </w:t>
      </w:r>
    </w:p>
    <w:p w14:paraId="4F927E35" w14:textId="77777777" w:rsidR="0050388E" w:rsidRDefault="00211D3A" w:rsidP="0050388E">
      <w:r>
        <w:rPr>
          <w:sz w:val="22"/>
          <w:szCs w:val="22"/>
        </w:rPr>
        <w:t xml:space="preserve"> </w:t>
      </w:r>
    </w:p>
    <w:p w14:paraId="42009E81" w14:textId="77777777" w:rsidR="00E1656E" w:rsidRPr="006F3EEE" w:rsidRDefault="00E1656E" w:rsidP="00E1656E">
      <w:pPr>
        <w:pStyle w:val="Heading1"/>
        <w:jc w:val="both"/>
        <w:rPr>
          <w:b/>
          <w:i/>
          <w:color w:val="008000"/>
          <w:kern w:val="0"/>
          <w:sz w:val="32"/>
        </w:rPr>
      </w:pPr>
      <w:r w:rsidRPr="006F3EEE">
        <w:rPr>
          <w:b/>
          <w:i/>
          <w:color w:val="008000"/>
          <w:kern w:val="0"/>
          <w:sz w:val="32"/>
        </w:rPr>
        <w:t>Housing Market - Rental</w:t>
      </w:r>
    </w:p>
    <w:p w14:paraId="2CCDA03E" w14:textId="77777777" w:rsidR="00E1656E" w:rsidRPr="001C58F3" w:rsidRDefault="00E1656E" w:rsidP="00E1656E">
      <w:pPr>
        <w:jc w:val="both"/>
        <w:rPr>
          <w:b/>
          <w:color w:val="008000"/>
          <w:sz w:val="32"/>
        </w:rPr>
      </w:pPr>
      <w:r>
        <w:rPr>
          <w:b/>
          <w:color w:val="008000"/>
          <w:sz w:val="32"/>
        </w:rPr>
        <w:t>R</w:t>
      </w:r>
      <w:r w:rsidRPr="001C58F3">
        <w:rPr>
          <w:b/>
          <w:color w:val="008000"/>
          <w:sz w:val="32"/>
        </w:rPr>
        <w:t>e</w:t>
      </w:r>
      <w:r>
        <w:rPr>
          <w:b/>
          <w:color w:val="008000"/>
          <w:sz w:val="32"/>
        </w:rPr>
        <w:t>nts</w:t>
      </w:r>
    </w:p>
    <w:p w14:paraId="67893B25" w14:textId="77777777" w:rsidR="00E9012F" w:rsidRDefault="00E1656E" w:rsidP="00A740F4">
      <w:pPr>
        <w:numPr>
          <w:ilvl w:val="0"/>
          <w:numId w:val="18"/>
        </w:numPr>
        <w:spacing w:before="0" w:after="0"/>
        <w:jc w:val="both"/>
        <w:rPr>
          <w:sz w:val="22"/>
          <w:szCs w:val="22"/>
        </w:rPr>
      </w:pPr>
      <w:r w:rsidRPr="00E9012F">
        <w:rPr>
          <w:sz w:val="22"/>
          <w:szCs w:val="22"/>
        </w:rPr>
        <w:t>There have been strong increases in median rents</w:t>
      </w:r>
      <w:r w:rsidR="000B2289">
        <w:rPr>
          <w:sz w:val="22"/>
          <w:szCs w:val="22"/>
        </w:rPr>
        <w:t xml:space="preserve"> for all dwelling types</w:t>
      </w:r>
      <w:r w:rsidR="008A0618">
        <w:rPr>
          <w:sz w:val="22"/>
          <w:szCs w:val="22"/>
        </w:rPr>
        <w:t>,</w:t>
      </w:r>
      <w:r w:rsidRPr="00E9012F">
        <w:rPr>
          <w:sz w:val="22"/>
          <w:szCs w:val="22"/>
        </w:rPr>
        <w:t xml:space="preserve"> in all bedroom categories in the </w:t>
      </w:r>
      <w:r w:rsidR="000B2289">
        <w:rPr>
          <w:sz w:val="22"/>
          <w:szCs w:val="22"/>
        </w:rPr>
        <w:t xml:space="preserve">Central Coast </w:t>
      </w:r>
      <w:r w:rsidRPr="00E9012F">
        <w:rPr>
          <w:sz w:val="22"/>
          <w:szCs w:val="22"/>
        </w:rPr>
        <w:t xml:space="preserve">region for </w:t>
      </w:r>
      <w:r w:rsidR="009528F6">
        <w:rPr>
          <w:sz w:val="22"/>
          <w:szCs w:val="22"/>
        </w:rPr>
        <w:t xml:space="preserve">well over </w:t>
      </w:r>
      <w:r w:rsidR="00E401FF">
        <w:rPr>
          <w:sz w:val="22"/>
          <w:szCs w:val="22"/>
        </w:rPr>
        <w:t>a decade</w:t>
      </w:r>
      <w:r w:rsidRPr="00E9012F">
        <w:rPr>
          <w:sz w:val="22"/>
          <w:szCs w:val="22"/>
        </w:rPr>
        <w:t xml:space="preserve">, </w:t>
      </w:r>
      <w:r w:rsidR="000B2289">
        <w:rPr>
          <w:sz w:val="22"/>
          <w:szCs w:val="22"/>
        </w:rPr>
        <w:t xml:space="preserve">with prices </w:t>
      </w:r>
      <w:r w:rsidR="00523CA2">
        <w:rPr>
          <w:sz w:val="22"/>
          <w:szCs w:val="22"/>
        </w:rPr>
        <w:t xml:space="preserve">increasing </w:t>
      </w:r>
      <w:r w:rsidR="000B2289">
        <w:rPr>
          <w:sz w:val="22"/>
          <w:szCs w:val="22"/>
        </w:rPr>
        <w:t>over the 12 month period to June 20</w:t>
      </w:r>
      <w:r w:rsidR="007222AF">
        <w:rPr>
          <w:sz w:val="22"/>
          <w:szCs w:val="22"/>
        </w:rPr>
        <w:t>22</w:t>
      </w:r>
      <w:r w:rsidR="00A740F4">
        <w:rPr>
          <w:sz w:val="22"/>
          <w:szCs w:val="22"/>
        </w:rPr>
        <w:t xml:space="preserve">.  </w:t>
      </w:r>
      <w:r w:rsidR="000B2289" w:rsidRPr="00A740F4">
        <w:rPr>
          <w:sz w:val="22"/>
          <w:szCs w:val="22"/>
        </w:rPr>
        <w:t>The gra</w:t>
      </w:r>
      <w:r w:rsidR="00E9012F" w:rsidRPr="00A740F4">
        <w:rPr>
          <w:sz w:val="22"/>
          <w:szCs w:val="22"/>
        </w:rPr>
        <w:t>ph below</w:t>
      </w:r>
      <w:r w:rsidR="000B2289" w:rsidRPr="00A740F4">
        <w:rPr>
          <w:sz w:val="22"/>
          <w:szCs w:val="22"/>
        </w:rPr>
        <w:t xml:space="preserve"> shows the increase in median rents for Gosford and Wyong from </w:t>
      </w:r>
      <w:r w:rsidR="00DD3521" w:rsidRPr="00A740F4">
        <w:rPr>
          <w:sz w:val="22"/>
          <w:szCs w:val="22"/>
        </w:rPr>
        <w:t xml:space="preserve">June </w:t>
      </w:r>
      <w:r w:rsidR="00A86622" w:rsidRPr="00A740F4">
        <w:rPr>
          <w:sz w:val="22"/>
          <w:szCs w:val="22"/>
        </w:rPr>
        <w:t>90</w:t>
      </w:r>
      <w:r w:rsidR="000B2289" w:rsidRPr="00A740F4">
        <w:rPr>
          <w:sz w:val="22"/>
          <w:szCs w:val="22"/>
        </w:rPr>
        <w:t xml:space="preserve"> to June 2017</w:t>
      </w:r>
      <w:r w:rsidR="00A86622" w:rsidRPr="00A740F4">
        <w:rPr>
          <w:sz w:val="22"/>
          <w:szCs w:val="22"/>
        </w:rPr>
        <w:t xml:space="preserve"> </w:t>
      </w:r>
      <w:r w:rsidR="000B2289" w:rsidRPr="00A740F4">
        <w:rPr>
          <w:sz w:val="22"/>
          <w:szCs w:val="22"/>
        </w:rPr>
        <w:t xml:space="preserve">and for Central Coast from </w:t>
      </w:r>
      <w:r w:rsidR="00A86622" w:rsidRPr="00A740F4">
        <w:rPr>
          <w:sz w:val="22"/>
          <w:szCs w:val="22"/>
        </w:rPr>
        <w:t xml:space="preserve">June </w:t>
      </w:r>
      <w:r w:rsidR="000B2289" w:rsidRPr="00A740F4">
        <w:rPr>
          <w:sz w:val="22"/>
          <w:szCs w:val="22"/>
        </w:rPr>
        <w:t>201</w:t>
      </w:r>
      <w:r w:rsidR="00A86622" w:rsidRPr="00A740F4">
        <w:rPr>
          <w:sz w:val="22"/>
          <w:szCs w:val="22"/>
        </w:rPr>
        <w:t>8</w:t>
      </w:r>
      <w:r w:rsidR="000B2289" w:rsidRPr="00A740F4">
        <w:rPr>
          <w:sz w:val="22"/>
          <w:szCs w:val="22"/>
        </w:rPr>
        <w:t xml:space="preserve"> to June 20</w:t>
      </w:r>
      <w:r w:rsidR="00A86622" w:rsidRPr="00A740F4">
        <w:rPr>
          <w:sz w:val="22"/>
          <w:szCs w:val="22"/>
        </w:rPr>
        <w:t>22</w:t>
      </w:r>
      <w:r w:rsidR="00E9012F" w:rsidRPr="00A740F4">
        <w:rPr>
          <w:sz w:val="22"/>
          <w:szCs w:val="22"/>
        </w:rPr>
        <w:t>.</w:t>
      </w:r>
    </w:p>
    <w:p w14:paraId="16AEE55E" w14:textId="77777777" w:rsidR="00A740F4" w:rsidRPr="00A740F4" w:rsidRDefault="00A740F4" w:rsidP="00A740F4">
      <w:pPr>
        <w:numPr>
          <w:ilvl w:val="0"/>
          <w:numId w:val="18"/>
        </w:numPr>
        <w:spacing w:before="0" w:after="0"/>
        <w:jc w:val="both"/>
        <w:rPr>
          <w:sz w:val="22"/>
          <w:szCs w:val="22"/>
        </w:rPr>
      </w:pPr>
      <w:r>
        <w:rPr>
          <w:sz w:val="22"/>
          <w:szCs w:val="22"/>
        </w:rPr>
        <w:t>The table immediately below shows that median rent for all dwellings for the Central Coast increased by 26.8% between June 2018 and June 2022.</w:t>
      </w:r>
    </w:p>
    <w:p w14:paraId="4EA20257" w14:textId="77777777" w:rsidR="00886BCA" w:rsidRDefault="00886BCA" w:rsidP="00835A87">
      <w:pPr>
        <w:spacing w:before="0" w:after="0"/>
        <w:jc w:val="both"/>
        <w:rPr>
          <w:sz w:val="22"/>
          <w:szCs w:val="22"/>
        </w:rPr>
      </w:pPr>
    </w:p>
    <w:p w14:paraId="3840B07A" w14:textId="77777777" w:rsidR="00A740F4" w:rsidRDefault="00A740F4" w:rsidP="00835A87">
      <w:pPr>
        <w:spacing w:before="0" w:after="0"/>
        <w:jc w:val="both"/>
        <w:rPr>
          <w:sz w:val="22"/>
          <w:szCs w:val="22"/>
        </w:rPr>
      </w:pPr>
    </w:p>
    <w:p w14:paraId="24BF0F3D" w14:textId="77777777" w:rsidR="00A740F4" w:rsidRDefault="00A740F4" w:rsidP="00A740F4">
      <w:pPr>
        <w:spacing w:before="0" w:after="0"/>
        <w:ind w:firstLine="360"/>
        <w:jc w:val="both"/>
        <w:rPr>
          <w:sz w:val="22"/>
          <w:szCs w:val="22"/>
        </w:rPr>
      </w:pPr>
      <w:r w:rsidRPr="00A740F4">
        <w:rPr>
          <w:noProof/>
        </w:rPr>
        <w:drawing>
          <wp:inline distT="0" distB="0" distL="0" distR="0" wp14:anchorId="4D055C34" wp14:editId="61AF21E3">
            <wp:extent cx="3510669" cy="6725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4823" cy="698279"/>
                    </a:xfrm>
                    <a:prstGeom prst="rect">
                      <a:avLst/>
                    </a:prstGeom>
                    <a:noFill/>
                    <a:ln>
                      <a:noFill/>
                    </a:ln>
                  </pic:spPr>
                </pic:pic>
              </a:graphicData>
            </a:graphic>
          </wp:inline>
        </w:drawing>
      </w:r>
    </w:p>
    <w:p w14:paraId="50B8659C" w14:textId="77777777" w:rsidR="00E9012F" w:rsidRDefault="00886BCA" w:rsidP="00E9012F">
      <w:pPr>
        <w:spacing w:before="0" w:after="0"/>
        <w:jc w:val="both"/>
        <w:rPr>
          <w:sz w:val="22"/>
          <w:szCs w:val="22"/>
        </w:rPr>
      </w:pPr>
      <w:r>
        <w:rPr>
          <w:noProof/>
        </w:rPr>
        <w:lastRenderedPageBreak/>
        <w:drawing>
          <wp:inline distT="0" distB="0" distL="0" distR="0" wp14:anchorId="16B3E9FE" wp14:editId="0F2477AA">
            <wp:extent cx="5781675" cy="28575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1EF254" w14:textId="77777777" w:rsidR="00886BCA" w:rsidRDefault="00886BCA" w:rsidP="00E9012F">
      <w:pPr>
        <w:spacing w:before="0" w:after="0"/>
        <w:jc w:val="both"/>
        <w:rPr>
          <w:sz w:val="22"/>
          <w:szCs w:val="22"/>
        </w:rPr>
      </w:pPr>
    </w:p>
    <w:p w14:paraId="3743667E" w14:textId="77777777" w:rsidR="00886BCA" w:rsidRDefault="00886BCA" w:rsidP="00E9012F">
      <w:pPr>
        <w:spacing w:before="0" w:after="0"/>
        <w:jc w:val="both"/>
        <w:rPr>
          <w:sz w:val="22"/>
          <w:szCs w:val="22"/>
        </w:rPr>
      </w:pPr>
    </w:p>
    <w:p w14:paraId="2FBFD1C8" w14:textId="77777777" w:rsidR="00E54D2E" w:rsidRPr="00A86622" w:rsidRDefault="00532D44" w:rsidP="00532D44">
      <w:pPr>
        <w:pStyle w:val="ListParagraph"/>
        <w:numPr>
          <w:ilvl w:val="0"/>
          <w:numId w:val="48"/>
        </w:numPr>
        <w:spacing w:before="0" w:after="0"/>
        <w:rPr>
          <w:sz w:val="22"/>
          <w:szCs w:val="22"/>
        </w:rPr>
      </w:pPr>
      <w:r w:rsidRPr="00A86622">
        <w:rPr>
          <w:sz w:val="22"/>
          <w:szCs w:val="22"/>
        </w:rPr>
        <w:t xml:space="preserve">Between 2019 and 2020 when </w:t>
      </w:r>
      <w:r w:rsidR="00A86622" w:rsidRPr="00A86622">
        <w:rPr>
          <w:sz w:val="22"/>
          <w:szCs w:val="22"/>
        </w:rPr>
        <w:t>COVID</w:t>
      </w:r>
      <w:r w:rsidRPr="00A86622">
        <w:rPr>
          <w:sz w:val="22"/>
          <w:szCs w:val="22"/>
        </w:rPr>
        <w:t xml:space="preserve"> lockdowns were introduced, median rents in the </w:t>
      </w:r>
      <w:r w:rsidR="00687190" w:rsidRPr="00A86622">
        <w:rPr>
          <w:sz w:val="22"/>
          <w:szCs w:val="22"/>
        </w:rPr>
        <w:t>Central Coast</w:t>
      </w:r>
      <w:r w:rsidRPr="00A86622">
        <w:rPr>
          <w:sz w:val="22"/>
          <w:szCs w:val="22"/>
        </w:rPr>
        <w:t xml:space="preserve"> were</w:t>
      </w:r>
      <w:r w:rsidR="00687190" w:rsidRPr="00A86622">
        <w:rPr>
          <w:sz w:val="22"/>
          <w:szCs w:val="22"/>
        </w:rPr>
        <w:t xml:space="preserve"> fairly stable – with </w:t>
      </w:r>
      <w:r w:rsidR="00E54D2E" w:rsidRPr="00A86622">
        <w:rPr>
          <w:sz w:val="22"/>
          <w:szCs w:val="22"/>
        </w:rPr>
        <w:t xml:space="preserve">just a 1.8% increase in the median rent for one bedroom homes, </w:t>
      </w:r>
      <w:r w:rsidR="00687190" w:rsidRPr="00A86622">
        <w:rPr>
          <w:sz w:val="22"/>
          <w:szCs w:val="22"/>
        </w:rPr>
        <w:t xml:space="preserve">no change </w:t>
      </w:r>
      <w:r w:rsidR="00E54D2E" w:rsidRPr="00A86622">
        <w:rPr>
          <w:sz w:val="22"/>
          <w:szCs w:val="22"/>
        </w:rPr>
        <w:t xml:space="preserve">in the median rent for two bedroom dwellings, a 2.3% increase for three bedroom homes and just 0.9% increase in the median rent for four bedroom dwellings. </w:t>
      </w:r>
      <w:r w:rsidRPr="00A86622">
        <w:rPr>
          <w:sz w:val="22"/>
          <w:szCs w:val="22"/>
        </w:rPr>
        <w:t xml:space="preserve"> </w:t>
      </w:r>
    </w:p>
    <w:p w14:paraId="6CDFAF9C" w14:textId="77777777" w:rsidR="00532D44" w:rsidRPr="00A86622" w:rsidRDefault="00E54D2E" w:rsidP="00532D44">
      <w:pPr>
        <w:pStyle w:val="ListParagraph"/>
        <w:numPr>
          <w:ilvl w:val="0"/>
          <w:numId w:val="48"/>
        </w:numPr>
        <w:spacing w:before="0" w:after="0"/>
        <w:rPr>
          <w:sz w:val="22"/>
          <w:szCs w:val="22"/>
        </w:rPr>
      </w:pPr>
      <w:r w:rsidRPr="00A86622">
        <w:rPr>
          <w:sz w:val="22"/>
          <w:szCs w:val="22"/>
        </w:rPr>
        <w:t>The table below gives the change in median rents for one, two, three and four bedroom homes between June 2019 and June 20</w:t>
      </w:r>
      <w:r w:rsidR="003065CF">
        <w:rPr>
          <w:sz w:val="22"/>
          <w:szCs w:val="22"/>
        </w:rPr>
        <w:t>20</w:t>
      </w:r>
      <w:r w:rsidRPr="00A86622">
        <w:rPr>
          <w:sz w:val="22"/>
          <w:szCs w:val="22"/>
        </w:rPr>
        <w:t>.</w:t>
      </w:r>
    </w:p>
    <w:p w14:paraId="5C60D839" w14:textId="77777777" w:rsidR="00532D44" w:rsidRDefault="00532D44" w:rsidP="00835A87">
      <w:pPr>
        <w:pStyle w:val="ListParagraph"/>
        <w:spacing w:before="0" w:after="0"/>
        <w:ind w:left="360"/>
        <w:rPr>
          <w:sz w:val="22"/>
          <w:szCs w:val="22"/>
        </w:rPr>
      </w:pPr>
    </w:p>
    <w:p w14:paraId="0A53F9EC" w14:textId="77777777" w:rsidR="00886BCA" w:rsidRDefault="00886BCA" w:rsidP="00E9012F">
      <w:pPr>
        <w:spacing w:before="0" w:after="0"/>
        <w:jc w:val="both"/>
        <w:rPr>
          <w:sz w:val="22"/>
          <w:szCs w:val="22"/>
        </w:rPr>
      </w:pPr>
    </w:p>
    <w:p w14:paraId="52A785D6" w14:textId="77777777" w:rsidR="00886BCA" w:rsidRDefault="00532D44" w:rsidP="00E9012F">
      <w:pPr>
        <w:spacing w:before="0" w:after="0"/>
        <w:jc w:val="both"/>
        <w:rPr>
          <w:sz w:val="22"/>
          <w:szCs w:val="22"/>
        </w:rPr>
      </w:pPr>
      <w:r w:rsidRPr="00532D44">
        <w:rPr>
          <w:noProof/>
        </w:rPr>
        <w:drawing>
          <wp:inline distT="0" distB="0" distL="0" distR="0" wp14:anchorId="050F65B1" wp14:editId="3ABCDBDE">
            <wp:extent cx="6126307" cy="67586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5287" cy="694503"/>
                    </a:xfrm>
                    <a:prstGeom prst="rect">
                      <a:avLst/>
                    </a:prstGeom>
                    <a:noFill/>
                    <a:ln>
                      <a:noFill/>
                    </a:ln>
                  </pic:spPr>
                </pic:pic>
              </a:graphicData>
            </a:graphic>
          </wp:inline>
        </w:drawing>
      </w:r>
    </w:p>
    <w:p w14:paraId="7FC637EF" w14:textId="77777777" w:rsidR="00886BCA" w:rsidRDefault="00886BCA" w:rsidP="00E9012F">
      <w:pPr>
        <w:spacing w:before="0" w:after="0"/>
        <w:jc w:val="both"/>
        <w:rPr>
          <w:sz w:val="22"/>
          <w:szCs w:val="22"/>
        </w:rPr>
      </w:pPr>
    </w:p>
    <w:p w14:paraId="725CB9D1" w14:textId="77777777" w:rsidR="00BD2CCE" w:rsidRPr="00835A87" w:rsidRDefault="00BA4E47">
      <w:pPr>
        <w:pStyle w:val="ListParagraph"/>
        <w:numPr>
          <w:ilvl w:val="0"/>
          <w:numId w:val="48"/>
        </w:numPr>
        <w:spacing w:before="0" w:after="0"/>
        <w:rPr>
          <w:sz w:val="22"/>
          <w:szCs w:val="22"/>
        </w:rPr>
      </w:pPr>
      <w:r w:rsidRPr="00835A87">
        <w:rPr>
          <w:sz w:val="22"/>
          <w:szCs w:val="22"/>
        </w:rPr>
        <w:t xml:space="preserve">However, between 2020 and 2022 when </w:t>
      </w:r>
      <w:r w:rsidR="00835A87" w:rsidRPr="00835A87">
        <w:rPr>
          <w:sz w:val="22"/>
          <w:szCs w:val="22"/>
        </w:rPr>
        <w:t>COVID</w:t>
      </w:r>
      <w:r w:rsidRPr="00835A87">
        <w:rPr>
          <w:sz w:val="22"/>
          <w:szCs w:val="22"/>
        </w:rPr>
        <w:t xml:space="preserve"> restrictions were relaxed, there were strong increases in median rents</w:t>
      </w:r>
      <w:r w:rsidR="00BD2CCE" w:rsidRPr="00835A87">
        <w:rPr>
          <w:sz w:val="22"/>
          <w:szCs w:val="22"/>
        </w:rPr>
        <w:t xml:space="preserve"> in the Central Coast</w:t>
      </w:r>
      <w:r w:rsidRPr="00835A87">
        <w:rPr>
          <w:sz w:val="22"/>
          <w:szCs w:val="22"/>
        </w:rPr>
        <w:t xml:space="preserve">, </w:t>
      </w:r>
      <w:r w:rsidR="00E54D2E" w:rsidRPr="00835A87">
        <w:rPr>
          <w:sz w:val="22"/>
          <w:szCs w:val="22"/>
        </w:rPr>
        <w:t xml:space="preserve">with a 15.8% increase for one bedroom homes, 22.2% for two bedroom, 25.0% for three bedroom and 23.6% increase for four bedroom homes, </w:t>
      </w:r>
      <w:r w:rsidRPr="00835A87">
        <w:rPr>
          <w:sz w:val="22"/>
          <w:szCs w:val="22"/>
        </w:rPr>
        <w:t>as the table below shows</w:t>
      </w:r>
    </w:p>
    <w:p w14:paraId="6A5179A4" w14:textId="77777777" w:rsidR="00BA4E47" w:rsidRPr="00E54D2E" w:rsidRDefault="00BA4E47" w:rsidP="00835A87">
      <w:pPr>
        <w:pStyle w:val="ListParagraph"/>
        <w:spacing w:before="0" w:after="0"/>
        <w:ind w:left="360"/>
        <w:rPr>
          <w:sz w:val="22"/>
          <w:szCs w:val="22"/>
        </w:rPr>
      </w:pPr>
      <w:r w:rsidRPr="00E54D2E">
        <w:rPr>
          <w:sz w:val="22"/>
          <w:szCs w:val="22"/>
        </w:rPr>
        <w:t xml:space="preserve">.  </w:t>
      </w:r>
    </w:p>
    <w:p w14:paraId="52B46603" w14:textId="77777777" w:rsidR="00E9012F" w:rsidRDefault="00687190" w:rsidP="00E9012F">
      <w:pPr>
        <w:spacing w:before="0" w:after="0"/>
        <w:jc w:val="both"/>
        <w:rPr>
          <w:sz w:val="22"/>
          <w:szCs w:val="22"/>
        </w:rPr>
      </w:pPr>
      <w:r w:rsidRPr="00687190">
        <w:rPr>
          <w:noProof/>
        </w:rPr>
        <w:drawing>
          <wp:inline distT="0" distB="0" distL="0" distR="0" wp14:anchorId="7A4B9FB3" wp14:editId="423A7DE1">
            <wp:extent cx="6124904" cy="659959"/>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5158" cy="681536"/>
                    </a:xfrm>
                    <a:prstGeom prst="rect">
                      <a:avLst/>
                    </a:prstGeom>
                    <a:noFill/>
                    <a:ln>
                      <a:noFill/>
                    </a:ln>
                  </pic:spPr>
                </pic:pic>
              </a:graphicData>
            </a:graphic>
          </wp:inline>
        </w:drawing>
      </w:r>
    </w:p>
    <w:p w14:paraId="6DBA6E55" w14:textId="77777777" w:rsidR="003F188C" w:rsidRPr="003F188C" w:rsidRDefault="003F188C" w:rsidP="003F188C">
      <w:pPr>
        <w:spacing w:before="0" w:after="0"/>
        <w:ind w:left="360"/>
        <w:jc w:val="both"/>
        <w:rPr>
          <w:sz w:val="22"/>
          <w:szCs w:val="22"/>
        </w:rPr>
      </w:pPr>
    </w:p>
    <w:p w14:paraId="2427ACA4" w14:textId="77777777" w:rsidR="00532D44" w:rsidRDefault="00E9012F" w:rsidP="00E9012F">
      <w:pPr>
        <w:spacing w:before="0" w:after="0"/>
        <w:jc w:val="both"/>
        <w:rPr>
          <w:sz w:val="22"/>
          <w:szCs w:val="22"/>
        </w:rPr>
      </w:pPr>
      <w:r w:rsidRPr="003F188C">
        <w:rPr>
          <w:sz w:val="22"/>
          <w:szCs w:val="22"/>
        </w:rPr>
        <w:t>At June 20</w:t>
      </w:r>
      <w:r w:rsidR="0095441B" w:rsidRPr="003F188C">
        <w:rPr>
          <w:sz w:val="22"/>
          <w:szCs w:val="22"/>
        </w:rPr>
        <w:t>22</w:t>
      </w:r>
      <w:r w:rsidRPr="003F188C">
        <w:rPr>
          <w:sz w:val="22"/>
          <w:szCs w:val="22"/>
        </w:rPr>
        <w:t>,</w:t>
      </w:r>
      <w:r w:rsidR="00BD2CCE" w:rsidRPr="003F188C">
        <w:rPr>
          <w:sz w:val="22"/>
          <w:szCs w:val="22"/>
        </w:rPr>
        <w:t xml:space="preserve"> the </w:t>
      </w:r>
      <w:r w:rsidRPr="003F188C">
        <w:rPr>
          <w:sz w:val="22"/>
          <w:szCs w:val="22"/>
        </w:rPr>
        <w:t xml:space="preserve">median rent for </w:t>
      </w:r>
      <w:r w:rsidR="00BD2CCE" w:rsidRPr="003F188C">
        <w:rPr>
          <w:sz w:val="22"/>
          <w:szCs w:val="22"/>
        </w:rPr>
        <w:t>one bedroom homes was $330 per week, for two bedroom homes was $440 per week,</w:t>
      </w:r>
      <w:r w:rsidR="003638B1" w:rsidRPr="003F188C">
        <w:rPr>
          <w:sz w:val="22"/>
          <w:szCs w:val="22"/>
        </w:rPr>
        <w:t xml:space="preserve"> for three bedroom homes was $550 per week and for four bedroom homes was $680 per week. </w:t>
      </w:r>
      <w:r w:rsidR="00BD2CCE" w:rsidRPr="003F188C">
        <w:rPr>
          <w:sz w:val="22"/>
          <w:szCs w:val="22"/>
        </w:rPr>
        <w:t xml:space="preserve"> </w:t>
      </w:r>
    </w:p>
    <w:p w14:paraId="2116C980" w14:textId="77777777" w:rsidR="009528F6" w:rsidRDefault="009528F6" w:rsidP="00E9012F">
      <w:pPr>
        <w:spacing w:before="0" w:after="0"/>
        <w:jc w:val="both"/>
        <w:rPr>
          <w:sz w:val="22"/>
          <w:szCs w:val="22"/>
        </w:rPr>
      </w:pPr>
    </w:p>
    <w:p w14:paraId="023CF6A4" w14:textId="77777777" w:rsidR="009528F6" w:rsidRDefault="009528F6" w:rsidP="00E9012F">
      <w:pPr>
        <w:spacing w:before="0" w:after="0"/>
        <w:jc w:val="both"/>
        <w:rPr>
          <w:b/>
          <w:sz w:val="22"/>
          <w:szCs w:val="22"/>
        </w:rPr>
      </w:pPr>
    </w:p>
    <w:p w14:paraId="77CE9B76" w14:textId="77777777" w:rsidR="00532D44" w:rsidRDefault="00532D44" w:rsidP="00E9012F">
      <w:pPr>
        <w:spacing w:before="0" w:after="0"/>
        <w:jc w:val="both"/>
        <w:rPr>
          <w:b/>
          <w:sz w:val="22"/>
          <w:szCs w:val="22"/>
        </w:rPr>
      </w:pPr>
    </w:p>
    <w:p w14:paraId="4C2EEC50" w14:textId="77777777" w:rsidR="00E1656E" w:rsidRPr="001C58F3" w:rsidRDefault="00E1656E" w:rsidP="00E1656E">
      <w:pPr>
        <w:jc w:val="both"/>
        <w:rPr>
          <w:b/>
          <w:color w:val="008000"/>
          <w:sz w:val="32"/>
        </w:rPr>
      </w:pPr>
      <w:r>
        <w:rPr>
          <w:b/>
          <w:color w:val="008000"/>
          <w:sz w:val="32"/>
        </w:rPr>
        <w:lastRenderedPageBreak/>
        <w:t>Vacancy Rate</w:t>
      </w:r>
    </w:p>
    <w:p w14:paraId="3F2C9FF0" w14:textId="77777777" w:rsidR="00AD10FC" w:rsidRPr="007D2296" w:rsidRDefault="00AD10FC" w:rsidP="00E1656E">
      <w:pPr>
        <w:numPr>
          <w:ilvl w:val="0"/>
          <w:numId w:val="18"/>
        </w:numPr>
        <w:spacing w:before="0" w:after="0"/>
        <w:jc w:val="both"/>
        <w:rPr>
          <w:sz w:val="22"/>
          <w:szCs w:val="22"/>
        </w:rPr>
      </w:pPr>
      <w:r w:rsidRPr="007D2296">
        <w:rPr>
          <w:sz w:val="22"/>
          <w:szCs w:val="22"/>
        </w:rPr>
        <w:t>A vacancy rate of 3% is understood to represent a balance between supply and demand.</w:t>
      </w:r>
    </w:p>
    <w:p w14:paraId="2E00A317" w14:textId="77777777" w:rsidR="00014F49" w:rsidRPr="007D2296" w:rsidRDefault="00E1656E" w:rsidP="00E1656E">
      <w:pPr>
        <w:numPr>
          <w:ilvl w:val="0"/>
          <w:numId w:val="18"/>
        </w:numPr>
        <w:spacing w:before="0" w:after="0"/>
        <w:jc w:val="both"/>
        <w:rPr>
          <w:sz w:val="22"/>
          <w:szCs w:val="22"/>
        </w:rPr>
      </w:pPr>
      <w:r w:rsidRPr="007D2296">
        <w:rPr>
          <w:sz w:val="22"/>
          <w:szCs w:val="22"/>
        </w:rPr>
        <w:t xml:space="preserve">According to REINSW data, vacancy rates were below 3% for the </w:t>
      </w:r>
      <w:r w:rsidR="00EB47AC" w:rsidRPr="007D2296">
        <w:rPr>
          <w:sz w:val="22"/>
          <w:szCs w:val="22"/>
        </w:rPr>
        <w:t xml:space="preserve">Central Coast </w:t>
      </w:r>
      <w:r w:rsidR="002162B2" w:rsidRPr="007D2296">
        <w:rPr>
          <w:sz w:val="22"/>
          <w:szCs w:val="22"/>
        </w:rPr>
        <w:t>for almost all the whole period</w:t>
      </w:r>
      <w:r w:rsidRPr="007D2296">
        <w:rPr>
          <w:sz w:val="22"/>
          <w:szCs w:val="22"/>
        </w:rPr>
        <w:t xml:space="preserve"> from 200</w:t>
      </w:r>
      <w:r w:rsidR="00143399" w:rsidRPr="007D2296">
        <w:rPr>
          <w:sz w:val="22"/>
          <w:szCs w:val="22"/>
        </w:rPr>
        <w:t>7</w:t>
      </w:r>
      <w:r w:rsidRPr="007D2296">
        <w:rPr>
          <w:sz w:val="22"/>
          <w:szCs w:val="22"/>
        </w:rPr>
        <w:t xml:space="preserve"> through to 201</w:t>
      </w:r>
      <w:r w:rsidR="00EB47AC" w:rsidRPr="007D2296">
        <w:rPr>
          <w:sz w:val="22"/>
          <w:szCs w:val="22"/>
        </w:rPr>
        <w:t>9</w:t>
      </w:r>
      <w:r w:rsidR="00D53D1A">
        <w:rPr>
          <w:sz w:val="22"/>
          <w:szCs w:val="22"/>
        </w:rPr>
        <w:t xml:space="preserve"> and again since May 2020</w:t>
      </w:r>
      <w:r w:rsidRPr="007D2296">
        <w:rPr>
          <w:sz w:val="22"/>
          <w:szCs w:val="22"/>
        </w:rPr>
        <w:t xml:space="preserve">. </w:t>
      </w:r>
      <w:r w:rsidR="002162B2" w:rsidRPr="007D2296">
        <w:rPr>
          <w:sz w:val="22"/>
          <w:szCs w:val="22"/>
        </w:rPr>
        <w:t xml:space="preserve">For </w:t>
      </w:r>
      <w:r w:rsidR="00EB47AC" w:rsidRPr="007D2296">
        <w:rPr>
          <w:sz w:val="22"/>
          <w:szCs w:val="22"/>
        </w:rPr>
        <w:t xml:space="preserve">some </w:t>
      </w:r>
      <w:r w:rsidR="002162B2" w:rsidRPr="007D2296">
        <w:rPr>
          <w:sz w:val="22"/>
          <w:szCs w:val="22"/>
        </w:rPr>
        <w:t>of that time the vacancy rate has been below 2% - indicating a chronic shortage</w:t>
      </w:r>
      <w:r w:rsidR="00CF11A7">
        <w:rPr>
          <w:sz w:val="22"/>
          <w:szCs w:val="22"/>
        </w:rPr>
        <w:t xml:space="preserve"> of rental housing</w:t>
      </w:r>
      <w:r w:rsidR="002162B2" w:rsidRPr="007D2296">
        <w:rPr>
          <w:sz w:val="22"/>
          <w:szCs w:val="22"/>
        </w:rPr>
        <w:t xml:space="preserve">.  </w:t>
      </w:r>
    </w:p>
    <w:p w14:paraId="697D6838" w14:textId="77777777" w:rsidR="005E0E02" w:rsidRPr="007D2296" w:rsidRDefault="005E0E02">
      <w:pPr>
        <w:numPr>
          <w:ilvl w:val="0"/>
          <w:numId w:val="18"/>
        </w:numPr>
        <w:spacing w:before="0" w:after="0"/>
        <w:jc w:val="both"/>
        <w:rPr>
          <w:sz w:val="22"/>
          <w:szCs w:val="22"/>
        </w:rPr>
      </w:pPr>
      <w:r w:rsidRPr="007D2296">
        <w:rPr>
          <w:sz w:val="22"/>
          <w:szCs w:val="22"/>
        </w:rPr>
        <w:t>Vacancy rates are tight across almost all of NSW, indicating a significant undersupply of rental accommodation</w:t>
      </w:r>
      <w:r w:rsidR="00CF11A7">
        <w:rPr>
          <w:sz w:val="22"/>
          <w:szCs w:val="22"/>
        </w:rPr>
        <w:t xml:space="preserve"> across both regional and metropolitan NSW</w:t>
      </w:r>
      <w:r w:rsidRPr="007D2296">
        <w:rPr>
          <w:sz w:val="22"/>
          <w:szCs w:val="22"/>
        </w:rPr>
        <w:t>.</w:t>
      </w:r>
      <w:r w:rsidR="00CF11A7">
        <w:rPr>
          <w:sz w:val="22"/>
          <w:szCs w:val="22"/>
        </w:rPr>
        <w:t xml:space="preserve">  Anecdotally there are reports of tenants struggling to find accommodation and potentially facing homelessness, reports of stiff competiti</w:t>
      </w:r>
      <w:r w:rsidR="00C77B22">
        <w:rPr>
          <w:sz w:val="22"/>
          <w:szCs w:val="22"/>
        </w:rPr>
        <w:t xml:space="preserve">on for properties, strong, rapid </w:t>
      </w:r>
      <w:r w:rsidR="00CF11A7">
        <w:rPr>
          <w:sz w:val="22"/>
          <w:szCs w:val="22"/>
        </w:rPr>
        <w:t>increases in rents</w:t>
      </w:r>
      <w:r w:rsidR="00C77B22">
        <w:rPr>
          <w:sz w:val="22"/>
          <w:szCs w:val="22"/>
        </w:rPr>
        <w:t xml:space="preserve"> and tenants paying more than 50% of their income in rent.</w:t>
      </w:r>
    </w:p>
    <w:p w14:paraId="0B141566" w14:textId="77777777" w:rsidR="00E1656E" w:rsidRPr="007D2296" w:rsidRDefault="00E1656E" w:rsidP="00E1656E">
      <w:pPr>
        <w:numPr>
          <w:ilvl w:val="0"/>
          <w:numId w:val="18"/>
        </w:numPr>
        <w:spacing w:before="0" w:after="0"/>
        <w:jc w:val="both"/>
        <w:rPr>
          <w:sz w:val="22"/>
          <w:szCs w:val="22"/>
        </w:rPr>
      </w:pPr>
      <w:r w:rsidRPr="007D2296">
        <w:rPr>
          <w:sz w:val="22"/>
          <w:szCs w:val="22"/>
        </w:rPr>
        <w:t xml:space="preserve">At </w:t>
      </w:r>
      <w:r w:rsidR="00EC3073">
        <w:rPr>
          <w:sz w:val="22"/>
          <w:szCs w:val="22"/>
        </w:rPr>
        <w:t>April</w:t>
      </w:r>
      <w:r w:rsidR="00D53D1A">
        <w:rPr>
          <w:sz w:val="22"/>
          <w:szCs w:val="22"/>
        </w:rPr>
        <w:t xml:space="preserve"> </w:t>
      </w:r>
      <w:r w:rsidR="006C2BA7" w:rsidRPr="007D2296">
        <w:rPr>
          <w:sz w:val="22"/>
          <w:szCs w:val="22"/>
        </w:rPr>
        <w:t>202</w:t>
      </w:r>
      <w:r w:rsidR="00CF11A7">
        <w:rPr>
          <w:sz w:val="22"/>
          <w:szCs w:val="22"/>
        </w:rPr>
        <w:t>3</w:t>
      </w:r>
      <w:r w:rsidR="007D2296">
        <w:rPr>
          <w:sz w:val="22"/>
          <w:szCs w:val="22"/>
        </w:rPr>
        <w:t>,</w:t>
      </w:r>
      <w:r w:rsidRPr="007D2296">
        <w:rPr>
          <w:sz w:val="22"/>
          <w:szCs w:val="22"/>
        </w:rPr>
        <w:t xml:space="preserve"> the vacancy rate in </w:t>
      </w:r>
      <w:r w:rsidR="00EB47AC" w:rsidRPr="007D2296">
        <w:rPr>
          <w:sz w:val="22"/>
          <w:szCs w:val="22"/>
        </w:rPr>
        <w:t xml:space="preserve">the Central Coast </w:t>
      </w:r>
      <w:r w:rsidRPr="007D2296">
        <w:rPr>
          <w:sz w:val="22"/>
          <w:szCs w:val="22"/>
        </w:rPr>
        <w:t xml:space="preserve">was </w:t>
      </w:r>
      <w:r w:rsidR="006C2BA7" w:rsidRPr="007D2296">
        <w:rPr>
          <w:sz w:val="22"/>
          <w:szCs w:val="22"/>
        </w:rPr>
        <w:t>1</w:t>
      </w:r>
      <w:r w:rsidR="007D2296">
        <w:rPr>
          <w:sz w:val="22"/>
          <w:szCs w:val="22"/>
        </w:rPr>
        <w:t>.</w:t>
      </w:r>
      <w:r w:rsidR="00EC3073">
        <w:rPr>
          <w:sz w:val="22"/>
          <w:szCs w:val="22"/>
        </w:rPr>
        <w:t>7</w:t>
      </w:r>
      <w:r w:rsidRPr="007D2296">
        <w:rPr>
          <w:sz w:val="22"/>
          <w:szCs w:val="22"/>
        </w:rPr>
        <w:t>%</w:t>
      </w:r>
      <w:r w:rsidR="00014F49" w:rsidRPr="007D2296">
        <w:rPr>
          <w:sz w:val="22"/>
          <w:szCs w:val="22"/>
        </w:rPr>
        <w:t xml:space="preserve">, </w:t>
      </w:r>
      <w:r w:rsidRPr="007D2296">
        <w:rPr>
          <w:sz w:val="22"/>
          <w:szCs w:val="22"/>
        </w:rPr>
        <w:t xml:space="preserve">in Sydney it was </w:t>
      </w:r>
      <w:r w:rsidR="006C2BA7" w:rsidRPr="007D2296">
        <w:rPr>
          <w:sz w:val="22"/>
          <w:szCs w:val="22"/>
        </w:rPr>
        <w:t>1.</w:t>
      </w:r>
      <w:r w:rsidR="00A01CC7">
        <w:rPr>
          <w:sz w:val="22"/>
          <w:szCs w:val="22"/>
        </w:rPr>
        <w:t>3</w:t>
      </w:r>
      <w:r w:rsidRPr="007D2296">
        <w:rPr>
          <w:sz w:val="22"/>
          <w:szCs w:val="22"/>
        </w:rPr>
        <w:t>%</w:t>
      </w:r>
      <w:r w:rsidR="00EB47AC" w:rsidRPr="007D2296">
        <w:rPr>
          <w:sz w:val="22"/>
          <w:szCs w:val="22"/>
        </w:rPr>
        <w:t xml:space="preserve"> and in </w:t>
      </w:r>
      <w:r w:rsidR="00CF11A7">
        <w:rPr>
          <w:sz w:val="22"/>
          <w:szCs w:val="22"/>
        </w:rPr>
        <w:t>the Hunter</w:t>
      </w:r>
      <w:r w:rsidR="008A0618" w:rsidRPr="007D2296">
        <w:rPr>
          <w:sz w:val="22"/>
          <w:szCs w:val="22"/>
        </w:rPr>
        <w:t>,</w:t>
      </w:r>
      <w:r w:rsidR="00EB47AC" w:rsidRPr="007D2296">
        <w:rPr>
          <w:sz w:val="22"/>
          <w:szCs w:val="22"/>
        </w:rPr>
        <w:t xml:space="preserve"> it was </w:t>
      </w:r>
      <w:r w:rsidR="00A01CC7">
        <w:rPr>
          <w:sz w:val="22"/>
          <w:szCs w:val="22"/>
        </w:rPr>
        <w:t>1.</w:t>
      </w:r>
      <w:r w:rsidR="00EC3073">
        <w:rPr>
          <w:sz w:val="22"/>
          <w:szCs w:val="22"/>
        </w:rPr>
        <w:t>8</w:t>
      </w:r>
      <w:r w:rsidR="00EB47AC" w:rsidRPr="007D2296">
        <w:rPr>
          <w:sz w:val="22"/>
          <w:szCs w:val="22"/>
        </w:rPr>
        <w:t>%</w:t>
      </w:r>
      <w:r w:rsidRPr="007D2296">
        <w:rPr>
          <w:sz w:val="22"/>
          <w:szCs w:val="22"/>
        </w:rPr>
        <w:t>.</w:t>
      </w:r>
    </w:p>
    <w:p w14:paraId="1C85907F" w14:textId="77777777" w:rsidR="00E1656E" w:rsidRDefault="00E1656E" w:rsidP="00E1656E">
      <w:pPr>
        <w:spacing w:after="0"/>
        <w:ind w:left="360"/>
        <w:jc w:val="both"/>
        <w:rPr>
          <w:sz w:val="20"/>
          <w:szCs w:val="20"/>
        </w:rPr>
      </w:pPr>
    </w:p>
    <w:p w14:paraId="4B051295" w14:textId="77777777" w:rsidR="00E1656E" w:rsidRDefault="00B264B2" w:rsidP="00E1656E">
      <w:pPr>
        <w:jc w:val="both"/>
        <w:rPr>
          <w:b/>
          <w:color w:val="008000"/>
          <w:sz w:val="32"/>
          <w:highlight w:val="yellow"/>
        </w:rPr>
      </w:pPr>
      <w:r w:rsidRPr="00EC3073">
        <w:rPr>
          <w:b/>
          <w:noProof/>
          <w:color w:val="008000"/>
          <w:sz w:val="32"/>
        </w:rPr>
        <w:drawing>
          <wp:inline distT="0" distB="0" distL="0" distR="0" wp14:anchorId="58FBF149" wp14:editId="54646179">
            <wp:extent cx="6117590" cy="3310499"/>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393" cy="3313098"/>
                    </a:xfrm>
                    <a:prstGeom prst="rect">
                      <a:avLst/>
                    </a:prstGeom>
                    <a:noFill/>
                  </pic:spPr>
                </pic:pic>
              </a:graphicData>
            </a:graphic>
          </wp:inline>
        </w:drawing>
      </w:r>
    </w:p>
    <w:p w14:paraId="1CA6ABAF" w14:textId="77777777" w:rsidR="009B0546" w:rsidRDefault="009B0546" w:rsidP="00E1656E">
      <w:pPr>
        <w:jc w:val="both"/>
        <w:rPr>
          <w:b/>
          <w:color w:val="008000"/>
          <w:sz w:val="32"/>
          <w:highlight w:val="yellow"/>
        </w:rPr>
      </w:pPr>
    </w:p>
    <w:p w14:paraId="41150BFA" w14:textId="77777777" w:rsidR="00E1656E" w:rsidRPr="00CD167A" w:rsidRDefault="00E1656E" w:rsidP="00E1656E">
      <w:pPr>
        <w:jc w:val="both"/>
        <w:rPr>
          <w:b/>
          <w:color w:val="008000"/>
          <w:sz w:val="32"/>
        </w:rPr>
      </w:pPr>
      <w:r w:rsidRPr="00CD167A">
        <w:rPr>
          <w:b/>
          <w:color w:val="008000"/>
          <w:sz w:val="32"/>
        </w:rPr>
        <w:t>Affordable Rental</w:t>
      </w:r>
    </w:p>
    <w:p w14:paraId="5F794086" w14:textId="77777777" w:rsidR="00E1656E" w:rsidRDefault="00E1656E" w:rsidP="00E1656E">
      <w:pPr>
        <w:numPr>
          <w:ilvl w:val="0"/>
          <w:numId w:val="19"/>
        </w:numPr>
        <w:spacing w:before="0" w:after="0"/>
        <w:jc w:val="both"/>
        <w:rPr>
          <w:sz w:val="22"/>
          <w:szCs w:val="22"/>
        </w:rPr>
      </w:pPr>
      <w:r w:rsidRPr="00EC3534">
        <w:rPr>
          <w:sz w:val="22"/>
          <w:szCs w:val="22"/>
        </w:rPr>
        <w:t xml:space="preserve">The general trend across Sydney and NSW has been for a decline in the proportion of rental </w:t>
      </w:r>
      <w:r w:rsidR="008A0618" w:rsidRPr="00EC3534">
        <w:rPr>
          <w:sz w:val="22"/>
          <w:szCs w:val="22"/>
        </w:rPr>
        <w:t>stock which</w:t>
      </w:r>
      <w:r w:rsidRPr="00EC3534">
        <w:rPr>
          <w:sz w:val="22"/>
          <w:szCs w:val="22"/>
        </w:rPr>
        <w:t xml:space="preserve"> is affordable for very low, low and moderate income earners.  Although this region is more affordable than Sydney, the reduction in the proportion of rental housing that is affordable has been</w:t>
      </w:r>
      <w:r w:rsidR="00B719F0">
        <w:rPr>
          <w:sz w:val="22"/>
          <w:szCs w:val="22"/>
        </w:rPr>
        <w:t xml:space="preserve"> concerning</w:t>
      </w:r>
      <w:r w:rsidRPr="00EC3534">
        <w:rPr>
          <w:sz w:val="22"/>
          <w:szCs w:val="22"/>
        </w:rPr>
        <w:t xml:space="preserve">. </w:t>
      </w:r>
    </w:p>
    <w:p w14:paraId="49AD3231" w14:textId="77777777" w:rsidR="00151AAF" w:rsidRPr="007D7C1D" w:rsidRDefault="00151AAF" w:rsidP="00151AAF">
      <w:pPr>
        <w:numPr>
          <w:ilvl w:val="0"/>
          <w:numId w:val="19"/>
        </w:numPr>
        <w:spacing w:before="0" w:after="0"/>
        <w:jc w:val="both"/>
        <w:rPr>
          <w:sz w:val="22"/>
          <w:szCs w:val="22"/>
        </w:rPr>
      </w:pPr>
      <w:r w:rsidRPr="007D7C1D">
        <w:rPr>
          <w:sz w:val="22"/>
          <w:szCs w:val="22"/>
        </w:rPr>
        <w:t>Across the Rest of NSW, the proportion of affordable rental for very low income households stayed at the 2018 level of 22.0% for 2019, improved slightly to 21.7% in 2020 and again to 21.9% in 2021 then declined in line with the longer term trend to 17.0% in 2022.</w:t>
      </w:r>
    </w:p>
    <w:p w14:paraId="146B4FA7" w14:textId="77777777" w:rsidR="00151AAF" w:rsidRPr="007D7C1D" w:rsidRDefault="00151AAF" w:rsidP="00151AAF">
      <w:pPr>
        <w:numPr>
          <w:ilvl w:val="0"/>
          <w:numId w:val="19"/>
        </w:numPr>
        <w:spacing w:before="0" w:after="0"/>
        <w:jc w:val="both"/>
        <w:rPr>
          <w:sz w:val="22"/>
          <w:szCs w:val="22"/>
        </w:rPr>
      </w:pPr>
      <w:r w:rsidRPr="007D7C1D">
        <w:rPr>
          <w:sz w:val="22"/>
          <w:szCs w:val="22"/>
        </w:rPr>
        <w:lastRenderedPageBreak/>
        <w:t xml:space="preserve">In the </w:t>
      </w:r>
      <w:r w:rsidR="003D3366" w:rsidRPr="007D7C1D">
        <w:rPr>
          <w:sz w:val="22"/>
          <w:szCs w:val="22"/>
        </w:rPr>
        <w:t>Central Coast</w:t>
      </w:r>
      <w:r w:rsidRPr="007D7C1D">
        <w:rPr>
          <w:sz w:val="22"/>
          <w:szCs w:val="22"/>
        </w:rPr>
        <w:t>, this pattern was</w:t>
      </w:r>
      <w:r w:rsidR="002513CB" w:rsidRPr="007D7C1D">
        <w:rPr>
          <w:sz w:val="22"/>
          <w:szCs w:val="22"/>
        </w:rPr>
        <w:t xml:space="preserve"> a little different</w:t>
      </w:r>
      <w:r w:rsidRPr="007D7C1D">
        <w:rPr>
          <w:sz w:val="22"/>
          <w:szCs w:val="22"/>
        </w:rPr>
        <w:t>.  Between 2018 and 20</w:t>
      </w:r>
      <w:r w:rsidR="00AC5F9D" w:rsidRPr="007D7C1D">
        <w:rPr>
          <w:sz w:val="22"/>
          <w:szCs w:val="22"/>
        </w:rPr>
        <w:t>20</w:t>
      </w:r>
      <w:r w:rsidRPr="007D7C1D">
        <w:rPr>
          <w:sz w:val="22"/>
          <w:szCs w:val="22"/>
        </w:rPr>
        <w:t xml:space="preserve"> rental affordability for very low income ho</w:t>
      </w:r>
      <w:r w:rsidR="00AC5F9D" w:rsidRPr="007D7C1D">
        <w:rPr>
          <w:sz w:val="22"/>
          <w:szCs w:val="22"/>
        </w:rPr>
        <w:t xml:space="preserve">useholds improved. </w:t>
      </w:r>
      <w:r w:rsidRPr="007D7C1D">
        <w:rPr>
          <w:sz w:val="22"/>
          <w:szCs w:val="22"/>
        </w:rPr>
        <w:t>However, the proportion of affordable rental declined between 20</w:t>
      </w:r>
      <w:r w:rsidR="00AC5F9D" w:rsidRPr="007D7C1D">
        <w:rPr>
          <w:sz w:val="22"/>
          <w:szCs w:val="22"/>
        </w:rPr>
        <w:t>20</w:t>
      </w:r>
      <w:r w:rsidRPr="007D7C1D">
        <w:rPr>
          <w:sz w:val="22"/>
          <w:szCs w:val="22"/>
        </w:rPr>
        <w:t xml:space="preserve"> and 2022.</w:t>
      </w:r>
    </w:p>
    <w:p w14:paraId="73DB88F0" w14:textId="77777777" w:rsidR="002513CB" w:rsidRPr="00825EDD" w:rsidRDefault="002513CB">
      <w:pPr>
        <w:numPr>
          <w:ilvl w:val="0"/>
          <w:numId w:val="19"/>
        </w:numPr>
        <w:spacing w:before="0" w:after="0"/>
        <w:jc w:val="both"/>
        <w:rPr>
          <w:sz w:val="22"/>
          <w:szCs w:val="22"/>
        </w:rPr>
      </w:pPr>
      <w:r w:rsidRPr="00825EDD">
        <w:rPr>
          <w:sz w:val="22"/>
          <w:szCs w:val="22"/>
        </w:rPr>
        <w:t>At June 2022, the Central Coast</w:t>
      </w:r>
      <w:r w:rsidR="00080FD7">
        <w:rPr>
          <w:sz w:val="22"/>
          <w:szCs w:val="22"/>
        </w:rPr>
        <w:t xml:space="preserve"> (at 10.8%)</w:t>
      </w:r>
      <w:r w:rsidRPr="00825EDD">
        <w:rPr>
          <w:sz w:val="22"/>
          <w:szCs w:val="22"/>
        </w:rPr>
        <w:t xml:space="preserve"> had a lower proportion of affordable rental for very low income households than the Rest of NSW average of 17.0% and just a little above the Greater Sydney average of 10.7%.  </w:t>
      </w:r>
    </w:p>
    <w:p w14:paraId="48216622" w14:textId="77777777" w:rsidR="002513CB" w:rsidRDefault="002513CB">
      <w:pPr>
        <w:numPr>
          <w:ilvl w:val="0"/>
          <w:numId w:val="19"/>
        </w:numPr>
        <w:spacing w:before="0" w:after="0"/>
        <w:jc w:val="both"/>
        <w:rPr>
          <w:sz w:val="22"/>
          <w:szCs w:val="22"/>
        </w:rPr>
      </w:pPr>
      <w:r w:rsidRPr="00825EDD">
        <w:rPr>
          <w:sz w:val="22"/>
          <w:szCs w:val="22"/>
        </w:rPr>
        <w:t xml:space="preserve">The table and graph below show the change in the proportion of private rental accommodation affordable to </w:t>
      </w:r>
      <w:r w:rsidRPr="00825EDD">
        <w:rPr>
          <w:b/>
          <w:sz w:val="22"/>
          <w:szCs w:val="22"/>
        </w:rPr>
        <w:t>very low income</w:t>
      </w:r>
      <w:r w:rsidRPr="00825EDD">
        <w:rPr>
          <w:sz w:val="22"/>
          <w:szCs w:val="22"/>
        </w:rPr>
        <w:t xml:space="preserve"> households in the </w:t>
      </w:r>
      <w:r w:rsidR="00655D0F">
        <w:rPr>
          <w:sz w:val="22"/>
          <w:szCs w:val="22"/>
        </w:rPr>
        <w:t>Central Coast</w:t>
      </w:r>
      <w:r w:rsidR="00080FD7">
        <w:rPr>
          <w:sz w:val="22"/>
          <w:szCs w:val="22"/>
        </w:rPr>
        <w:t>, Greater Sydney</w:t>
      </w:r>
      <w:r w:rsidR="00655D0F" w:rsidRPr="00825EDD">
        <w:rPr>
          <w:sz w:val="22"/>
          <w:szCs w:val="22"/>
        </w:rPr>
        <w:t xml:space="preserve"> </w:t>
      </w:r>
      <w:r w:rsidRPr="00825EDD">
        <w:rPr>
          <w:sz w:val="22"/>
          <w:szCs w:val="22"/>
        </w:rPr>
        <w:t xml:space="preserve">and Rest of NSW between 2001 and 2022.  </w:t>
      </w:r>
    </w:p>
    <w:p w14:paraId="44580570" w14:textId="77777777" w:rsidR="00C8254E" w:rsidRPr="00825EDD" w:rsidRDefault="00C8254E" w:rsidP="00C8254E">
      <w:pPr>
        <w:spacing w:before="0" w:after="0"/>
        <w:jc w:val="both"/>
        <w:rPr>
          <w:sz w:val="22"/>
          <w:szCs w:val="22"/>
        </w:rPr>
      </w:pPr>
    </w:p>
    <w:p w14:paraId="7FD5606B" w14:textId="77777777" w:rsidR="00381647" w:rsidRDefault="00C8254E" w:rsidP="00364B41">
      <w:pPr>
        <w:spacing w:before="0" w:after="0"/>
        <w:ind w:left="360"/>
        <w:jc w:val="both"/>
        <w:rPr>
          <w:sz w:val="22"/>
          <w:szCs w:val="22"/>
        </w:rPr>
      </w:pPr>
      <w:r w:rsidRPr="00C8254E">
        <w:rPr>
          <w:noProof/>
        </w:rPr>
        <w:drawing>
          <wp:inline distT="0" distB="0" distL="0" distR="0" wp14:anchorId="29FC44A3" wp14:editId="4DE1E759">
            <wp:extent cx="3752850" cy="962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50" cy="962025"/>
                    </a:xfrm>
                    <a:prstGeom prst="rect">
                      <a:avLst/>
                    </a:prstGeom>
                    <a:noFill/>
                    <a:ln>
                      <a:noFill/>
                    </a:ln>
                  </pic:spPr>
                </pic:pic>
              </a:graphicData>
            </a:graphic>
          </wp:inline>
        </w:drawing>
      </w:r>
    </w:p>
    <w:p w14:paraId="37E0D4B2" w14:textId="77777777" w:rsidR="00381647" w:rsidRDefault="00381647" w:rsidP="00825EDD">
      <w:pPr>
        <w:spacing w:before="0" w:after="0"/>
        <w:jc w:val="both"/>
        <w:rPr>
          <w:sz w:val="22"/>
          <w:szCs w:val="22"/>
        </w:rPr>
      </w:pPr>
    </w:p>
    <w:p w14:paraId="474C72D3" w14:textId="77777777" w:rsidR="00381647" w:rsidRDefault="00364B41" w:rsidP="00825EDD">
      <w:pPr>
        <w:spacing w:before="0" w:after="0"/>
        <w:jc w:val="both"/>
        <w:rPr>
          <w:sz w:val="22"/>
          <w:szCs w:val="22"/>
        </w:rPr>
      </w:pPr>
      <w:r>
        <w:rPr>
          <w:noProof/>
          <w:sz w:val="22"/>
          <w:szCs w:val="22"/>
        </w:rPr>
        <w:drawing>
          <wp:inline distT="0" distB="0" distL="0" distR="0" wp14:anchorId="6E751BC5" wp14:editId="1DB737A0">
            <wp:extent cx="5840730" cy="3066415"/>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0730" cy="3066415"/>
                    </a:xfrm>
                    <a:prstGeom prst="rect">
                      <a:avLst/>
                    </a:prstGeom>
                    <a:noFill/>
                  </pic:spPr>
                </pic:pic>
              </a:graphicData>
            </a:graphic>
          </wp:inline>
        </w:drawing>
      </w:r>
    </w:p>
    <w:p w14:paraId="5ADDF167" w14:textId="77777777" w:rsidR="00E1656E" w:rsidRPr="00334669" w:rsidRDefault="00E1656E" w:rsidP="00E1656E">
      <w:pPr>
        <w:jc w:val="both"/>
        <w:rPr>
          <w:sz w:val="20"/>
          <w:szCs w:val="20"/>
        </w:rPr>
      </w:pPr>
    </w:p>
    <w:p w14:paraId="0F82D3B6" w14:textId="77777777" w:rsidR="00E05BD1" w:rsidRPr="001130CD" w:rsidRDefault="00E05BD1" w:rsidP="00E05BD1">
      <w:pPr>
        <w:numPr>
          <w:ilvl w:val="0"/>
          <w:numId w:val="31"/>
        </w:numPr>
        <w:spacing w:before="0" w:after="0"/>
        <w:jc w:val="both"/>
        <w:rPr>
          <w:sz w:val="22"/>
          <w:szCs w:val="22"/>
        </w:rPr>
      </w:pPr>
      <w:r w:rsidRPr="00825EDD">
        <w:rPr>
          <w:sz w:val="22"/>
          <w:szCs w:val="22"/>
        </w:rPr>
        <w:t xml:space="preserve">The proportion of rental affordable for </w:t>
      </w:r>
      <w:r w:rsidRPr="00825EDD">
        <w:rPr>
          <w:b/>
          <w:sz w:val="22"/>
          <w:szCs w:val="22"/>
        </w:rPr>
        <w:t>low income</w:t>
      </w:r>
      <w:r w:rsidRPr="00825EDD">
        <w:rPr>
          <w:sz w:val="22"/>
          <w:szCs w:val="22"/>
        </w:rPr>
        <w:t xml:space="preserve"> households has a</w:t>
      </w:r>
      <w:r w:rsidRPr="001130CD">
        <w:rPr>
          <w:sz w:val="22"/>
          <w:szCs w:val="22"/>
        </w:rPr>
        <w:t>lso declined in the</w:t>
      </w:r>
      <w:r w:rsidRPr="00E7368F">
        <w:rPr>
          <w:sz w:val="22"/>
          <w:szCs w:val="22"/>
        </w:rPr>
        <w:t xml:space="preserve"> Central Coast</w:t>
      </w:r>
      <w:r w:rsidR="00381647" w:rsidRPr="00E7368F">
        <w:rPr>
          <w:sz w:val="22"/>
          <w:szCs w:val="22"/>
        </w:rPr>
        <w:t>.</w:t>
      </w:r>
      <w:r w:rsidRPr="00E7368F">
        <w:rPr>
          <w:sz w:val="22"/>
          <w:szCs w:val="22"/>
        </w:rPr>
        <w:t xml:space="preserve"> At September 2017, the proportion of new </w:t>
      </w:r>
      <w:r w:rsidR="00023142">
        <w:rPr>
          <w:sz w:val="22"/>
          <w:szCs w:val="22"/>
        </w:rPr>
        <w:t>bonds lodged which were affordable</w:t>
      </w:r>
      <w:r w:rsidRPr="00E7368F">
        <w:rPr>
          <w:sz w:val="22"/>
          <w:szCs w:val="22"/>
        </w:rPr>
        <w:t xml:space="preserve"> to low income households was </w:t>
      </w:r>
      <w:r w:rsidR="008477FE" w:rsidRPr="00E7368F">
        <w:rPr>
          <w:sz w:val="22"/>
          <w:szCs w:val="22"/>
        </w:rPr>
        <w:t xml:space="preserve">57.4%, </w:t>
      </w:r>
      <w:r w:rsidR="00381647" w:rsidRPr="00E7368F">
        <w:rPr>
          <w:sz w:val="22"/>
          <w:szCs w:val="22"/>
        </w:rPr>
        <w:t xml:space="preserve">which </w:t>
      </w:r>
      <w:r w:rsidR="00E95209" w:rsidRPr="001130CD">
        <w:rPr>
          <w:sz w:val="22"/>
          <w:szCs w:val="22"/>
        </w:rPr>
        <w:t>declined</w:t>
      </w:r>
      <w:r w:rsidR="00E95209" w:rsidRPr="00825EDD">
        <w:rPr>
          <w:sz w:val="22"/>
          <w:szCs w:val="22"/>
        </w:rPr>
        <w:t xml:space="preserve"> </w:t>
      </w:r>
      <w:r w:rsidR="00381647" w:rsidRPr="00825EDD">
        <w:rPr>
          <w:sz w:val="22"/>
          <w:szCs w:val="22"/>
        </w:rPr>
        <w:t>to 54.1</w:t>
      </w:r>
      <w:r w:rsidR="00731E08" w:rsidRPr="00825EDD">
        <w:rPr>
          <w:sz w:val="22"/>
          <w:szCs w:val="22"/>
        </w:rPr>
        <w:t>% in June 2021</w:t>
      </w:r>
      <w:r w:rsidR="00731E08" w:rsidRPr="001130CD">
        <w:rPr>
          <w:sz w:val="22"/>
          <w:szCs w:val="22"/>
        </w:rPr>
        <w:t xml:space="preserve">, </w:t>
      </w:r>
      <w:r w:rsidR="008477FE" w:rsidRPr="001130CD">
        <w:rPr>
          <w:sz w:val="22"/>
          <w:szCs w:val="22"/>
        </w:rPr>
        <w:t xml:space="preserve">a little </w:t>
      </w:r>
      <w:r w:rsidR="00E95209" w:rsidRPr="001130CD">
        <w:rPr>
          <w:sz w:val="22"/>
          <w:szCs w:val="22"/>
        </w:rPr>
        <w:t>above</w:t>
      </w:r>
      <w:r w:rsidR="00E95209" w:rsidRPr="00825EDD">
        <w:rPr>
          <w:sz w:val="22"/>
          <w:szCs w:val="22"/>
        </w:rPr>
        <w:t xml:space="preserve"> </w:t>
      </w:r>
      <w:r w:rsidR="008477FE" w:rsidRPr="00825EDD">
        <w:rPr>
          <w:sz w:val="22"/>
          <w:szCs w:val="22"/>
        </w:rPr>
        <w:t xml:space="preserve">the Rest of NSW average of </w:t>
      </w:r>
      <w:r w:rsidR="00731E08" w:rsidRPr="00825EDD">
        <w:rPr>
          <w:sz w:val="22"/>
          <w:szCs w:val="22"/>
        </w:rPr>
        <w:t>51.0</w:t>
      </w:r>
      <w:r w:rsidR="008477FE" w:rsidRPr="001130CD">
        <w:rPr>
          <w:sz w:val="22"/>
          <w:szCs w:val="22"/>
        </w:rPr>
        <w:t xml:space="preserve">% and above the Greater Sydney average of </w:t>
      </w:r>
      <w:r w:rsidR="00731E08" w:rsidRPr="001130CD">
        <w:rPr>
          <w:sz w:val="22"/>
          <w:szCs w:val="22"/>
        </w:rPr>
        <w:t>44.8</w:t>
      </w:r>
      <w:r w:rsidR="008477FE" w:rsidRPr="001130CD">
        <w:rPr>
          <w:sz w:val="22"/>
          <w:szCs w:val="22"/>
        </w:rPr>
        <w:t>%</w:t>
      </w:r>
      <w:r w:rsidRPr="001130CD">
        <w:rPr>
          <w:sz w:val="22"/>
          <w:szCs w:val="22"/>
        </w:rPr>
        <w:t>.</w:t>
      </w:r>
    </w:p>
    <w:p w14:paraId="2900B80C" w14:textId="77777777" w:rsidR="00E95209" w:rsidRPr="001130CD" w:rsidRDefault="00E95209" w:rsidP="00E95209">
      <w:pPr>
        <w:numPr>
          <w:ilvl w:val="0"/>
          <w:numId w:val="31"/>
        </w:numPr>
        <w:spacing w:before="0" w:after="0"/>
        <w:jc w:val="both"/>
        <w:rPr>
          <w:sz w:val="22"/>
          <w:szCs w:val="22"/>
        </w:rPr>
      </w:pPr>
      <w:r w:rsidRPr="001130CD">
        <w:rPr>
          <w:sz w:val="22"/>
          <w:szCs w:val="22"/>
        </w:rPr>
        <w:t xml:space="preserve">Between 2018 and </w:t>
      </w:r>
      <w:r w:rsidR="00BD7E7E" w:rsidRPr="001130CD">
        <w:rPr>
          <w:sz w:val="22"/>
          <w:szCs w:val="22"/>
        </w:rPr>
        <w:t>2020,</w:t>
      </w:r>
      <w:r w:rsidRPr="001130CD">
        <w:rPr>
          <w:sz w:val="22"/>
          <w:szCs w:val="22"/>
        </w:rPr>
        <w:t xml:space="preserve"> the proportion of rental affordable for low</w:t>
      </w:r>
      <w:r w:rsidR="00FE4D81">
        <w:rPr>
          <w:sz w:val="22"/>
          <w:szCs w:val="22"/>
        </w:rPr>
        <w:t xml:space="preserve"> </w:t>
      </w:r>
      <w:r w:rsidRPr="001130CD">
        <w:rPr>
          <w:sz w:val="22"/>
          <w:szCs w:val="22"/>
        </w:rPr>
        <w:t>income households increased gently from 54.1% to 55.2% and then declined again to 45.4% in June 2022 in the Rest of NSW.</w:t>
      </w:r>
    </w:p>
    <w:p w14:paraId="1BA1706A" w14:textId="77777777" w:rsidR="00571D4C" w:rsidRPr="001130CD" w:rsidRDefault="00E95209" w:rsidP="00825EDD">
      <w:pPr>
        <w:pStyle w:val="ListParagraph"/>
        <w:numPr>
          <w:ilvl w:val="0"/>
          <w:numId w:val="31"/>
        </w:numPr>
        <w:spacing w:before="0" w:after="0"/>
        <w:jc w:val="both"/>
        <w:rPr>
          <w:sz w:val="22"/>
          <w:szCs w:val="22"/>
        </w:rPr>
      </w:pPr>
      <w:r w:rsidRPr="001130CD">
        <w:rPr>
          <w:sz w:val="22"/>
          <w:szCs w:val="22"/>
        </w:rPr>
        <w:t>The Central Coast followed the same trend as for the Rest of NSW, increasing from 55.4% in 2018 to 65.3% in 2020 then declining to 47.7% in 2022</w:t>
      </w:r>
      <w:r w:rsidR="00571D4C" w:rsidRPr="001130CD">
        <w:rPr>
          <w:sz w:val="22"/>
          <w:szCs w:val="22"/>
        </w:rPr>
        <w:t>.</w:t>
      </w:r>
    </w:p>
    <w:p w14:paraId="1B6253FF" w14:textId="77777777" w:rsidR="00E95209" w:rsidRPr="001130CD" w:rsidRDefault="00571D4C" w:rsidP="00825EDD">
      <w:pPr>
        <w:pStyle w:val="ListParagraph"/>
        <w:numPr>
          <w:ilvl w:val="0"/>
          <w:numId w:val="31"/>
        </w:numPr>
        <w:spacing w:before="0" w:after="0"/>
        <w:jc w:val="both"/>
        <w:rPr>
          <w:sz w:val="22"/>
          <w:szCs w:val="22"/>
        </w:rPr>
      </w:pPr>
      <w:r w:rsidRPr="001130CD">
        <w:rPr>
          <w:sz w:val="22"/>
          <w:szCs w:val="22"/>
        </w:rPr>
        <w:lastRenderedPageBreak/>
        <w:t xml:space="preserve">The table and graph below show the change in the proportion of private rental accommodation affordable to </w:t>
      </w:r>
      <w:r w:rsidRPr="001130CD">
        <w:rPr>
          <w:b/>
          <w:sz w:val="22"/>
          <w:szCs w:val="22"/>
        </w:rPr>
        <w:t>low income</w:t>
      </w:r>
      <w:r w:rsidRPr="001130CD">
        <w:rPr>
          <w:sz w:val="22"/>
          <w:szCs w:val="22"/>
        </w:rPr>
        <w:t xml:space="preserve"> households in the Central Coast, Greater Sydney, Rest of NSW and NSW between 2001 and 2022.</w:t>
      </w:r>
      <w:r w:rsidR="00E95209" w:rsidRPr="001130CD">
        <w:rPr>
          <w:sz w:val="22"/>
          <w:szCs w:val="22"/>
        </w:rPr>
        <w:t xml:space="preserve"> </w:t>
      </w:r>
    </w:p>
    <w:p w14:paraId="263D2E09" w14:textId="77777777" w:rsidR="00E95209" w:rsidRDefault="00E95209" w:rsidP="00825EDD">
      <w:pPr>
        <w:spacing w:before="0" w:after="0"/>
        <w:jc w:val="both"/>
        <w:rPr>
          <w:sz w:val="22"/>
          <w:szCs w:val="22"/>
        </w:rPr>
      </w:pPr>
    </w:p>
    <w:p w14:paraId="141BE54A" w14:textId="77777777" w:rsidR="001130CD" w:rsidRDefault="001130CD" w:rsidP="00825EDD">
      <w:pPr>
        <w:spacing w:before="0" w:after="0"/>
        <w:jc w:val="both"/>
        <w:rPr>
          <w:sz w:val="22"/>
          <w:szCs w:val="22"/>
        </w:rPr>
      </w:pPr>
    </w:p>
    <w:p w14:paraId="0D380F71" w14:textId="77777777" w:rsidR="001130CD" w:rsidRPr="00EC3534" w:rsidRDefault="001130CD" w:rsidP="00825EDD">
      <w:pPr>
        <w:spacing w:before="0" w:after="0"/>
        <w:jc w:val="both"/>
        <w:rPr>
          <w:sz w:val="22"/>
          <w:szCs w:val="22"/>
        </w:rPr>
      </w:pPr>
    </w:p>
    <w:p w14:paraId="3AB5276F" w14:textId="77777777" w:rsidR="003D3366" w:rsidRDefault="00C8254E" w:rsidP="00364B41">
      <w:pPr>
        <w:spacing w:before="0" w:line="259" w:lineRule="auto"/>
        <w:ind w:left="360"/>
        <w:jc w:val="both"/>
        <w:rPr>
          <w:sz w:val="22"/>
          <w:szCs w:val="22"/>
        </w:rPr>
      </w:pPr>
      <w:r w:rsidRPr="00C8254E">
        <w:rPr>
          <w:noProof/>
        </w:rPr>
        <w:drawing>
          <wp:inline distT="0" distB="0" distL="0" distR="0" wp14:anchorId="18DDADB3" wp14:editId="0B5D64D4">
            <wp:extent cx="3752850" cy="9620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962025"/>
                    </a:xfrm>
                    <a:prstGeom prst="rect">
                      <a:avLst/>
                    </a:prstGeom>
                    <a:noFill/>
                    <a:ln>
                      <a:noFill/>
                    </a:ln>
                  </pic:spPr>
                </pic:pic>
              </a:graphicData>
            </a:graphic>
          </wp:inline>
        </w:drawing>
      </w:r>
    </w:p>
    <w:p w14:paraId="52B6AECE" w14:textId="77777777" w:rsidR="001130CD" w:rsidRDefault="00143A3E" w:rsidP="001130CD">
      <w:pPr>
        <w:spacing w:before="0" w:line="259" w:lineRule="auto"/>
        <w:jc w:val="both"/>
        <w:rPr>
          <w:sz w:val="22"/>
          <w:szCs w:val="22"/>
        </w:rPr>
      </w:pPr>
      <w:r>
        <w:rPr>
          <w:noProof/>
          <w:sz w:val="22"/>
          <w:szCs w:val="22"/>
        </w:rPr>
        <w:drawing>
          <wp:inline distT="0" distB="0" distL="0" distR="0" wp14:anchorId="18F1C05B" wp14:editId="0D6D2466">
            <wp:extent cx="5822315" cy="2853055"/>
            <wp:effectExtent l="0" t="0" r="698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2315" cy="2853055"/>
                    </a:xfrm>
                    <a:prstGeom prst="rect">
                      <a:avLst/>
                    </a:prstGeom>
                    <a:noFill/>
                  </pic:spPr>
                </pic:pic>
              </a:graphicData>
            </a:graphic>
          </wp:inline>
        </w:drawing>
      </w:r>
    </w:p>
    <w:p w14:paraId="455CFABD" w14:textId="77777777" w:rsidR="00E1656E" w:rsidRPr="00BC0C95" w:rsidRDefault="00E1656E" w:rsidP="00E1656E">
      <w:pPr>
        <w:jc w:val="both"/>
        <w:rPr>
          <w:sz w:val="20"/>
          <w:szCs w:val="20"/>
        </w:rPr>
      </w:pPr>
    </w:p>
    <w:p w14:paraId="1B0BFFB3" w14:textId="77777777" w:rsidR="00974AE8" w:rsidRDefault="00974AE8" w:rsidP="002E62AF">
      <w:pPr>
        <w:numPr>
          <w:ilvl w:val="0"/>
          <w:numId w:val="31"/>
        </w:numPr>
        <w:spacing w:before="0" w:after="0"/>
        <w:rPr>
          <w:sz w:val="22"/>
          <w:szCs w:val="22"/>
        </w:rPr>
      </w:pPr>
      <w:r w:rsidRPr="00C937A5">
        <w:rPr>
          <w:sz w:val="22"/>
          <w:szCs w:val="22"/>
        </w:rPr>
        <w:t>There is evidence that short term holiday rentals such as Airbnb are impacting the supply of housing, including long term rental and affordable housing in cities and coastal communities</w:t>
      </w:r>
      <w:r>
        <w:rPr>
          <w:sz w:val="22"/>
          <w:szCs w:val="22"/>
        </w:rPr>
        <w:t>.</w:t>
      </w:r>
    </w:p>
    <w:p w14:paraId="365D441B" w14:textId="77777777" w:rsidR="00974AE8" w:rsidRPr="00966F4A" w:rsidRDefault="00974AE8" w:rsidP="002E62AF">
      <w:pPr>
        <w:numPr>
          <w:ilvl w:val="0"/>
          <w:numId w:val="31"/>
        </w:numPr>
        <w:spacing w:before="0" w:after="0"/>
        <w:rPr>
          <w:sz w:val="22"/>
          <w:szCs w:val="22"/>
        </w:rPr>
      </w:pPr>
      <w:r w:rsidRPr="002E62AF">
        <w:rPr>
          <w:rFonts w:eastAsia="Calibri" w:cs="Arial"/>
          <w:sz w:val="22"/>
          <w:szCs w:val="22"/>
          <w:lang w:eastAsia="en-US"/>
        </w:rPr>
        <w:t xml:space="preserve">Homes that could be used as long-term rental properties to house essential workers </w:t>
      </w:r>
      <w:r w:rsidR="00F208BE">
        <w:rPr>
          <w:rFonts w:eastAsia="Calibri" w:cs="Arial"/>
          <w:sz w:val="22"/>
          <w:szCs w:val="22"/>
          <w:lang w:eastAsia="en-US"/>
        </w:rPr>
        <w:t xml:space="preserve">are now used </w:t>
      </w:r>
      <w:r w:rsidRPr="002E62AF">
        <w:rPr>
          <w:rFonts w:eastAsia="Calibri" w:cs="Arial"/>
          <w:sz w:val="22"/>
          <w:szCs w:val="22"/>
          <w:lang w:eastAsia="en-US"/>
        </w:rPr>
        <w:t>for holiday accommodation, raising concerns that some regional towns will not be able to attract and keep staff in caring professions or hospitality.</w:t>
      </w:r>
    </w:p>
    <w:p w14:paraId="330A7DA0" w14:textId="77777777" w:rsidR="00930328" w:rsidRPr="002E62AF" w:rsidRDefault="00930328" w:rsidP="002E62AF">
      <w:pPr>
        <w:numPr>
          <w:ilvl w:val="0"/>
          <w:numId w:val="31"/>
        </w:numPr>
        <w:spacing w:before="0" w:after="0"/>
        <w:rPr>
          <w:sz w:val="22"/>
          <w:szCs w:val="22"/>
        </w:rPr>
      </w:pPr>
      <w:r>
        <w:rPr>
          <w:sz w:val="22"/>
          <w:szCs w:val="22"/>
        </w:rPr>
        <w:t>The rapid growth in on line listings and loss of affordable rental accommodation are likely connected, with tourist accommodation outcompeting longer term renting for locals.</w:t>
      </w:r>
    </w:p>
    <w:p w14:paraId="34823758" w14:textId="77777777" w:rsidR="00974AE8" w:rsidRDefault="00D739C5" w:rsidP="00974AE8">
      <w:pPr>
        <w:numPr>
          <w:ilvl w:val="0"/>
          <w:numId w:val="31"/>
        </w:numPr>
        <w:spacing w:before="0" w:after="0"/>
        <w:rPr>
          <w:sz w:val="22"/>
          <w:szCs w:val="22"/>
        </w:rPr>
      </w:pPr>
      <w:r>
        <w:rPr>
          <w:sz w:val="22"/>
          <w:szCs w:val="22"/>
        </w:rPr>
        <w:t>C</w:t>
      </w:r>
      <w:r w:rsidR="00974AE8">
        <w:rPr>
          <w:sz w:val="22"/>
          <w:szCs w:val="22"/>
        </w:rPr>
        <w:t>ommunities within a 3 hour radius of capital cities</w:t>
      </w:r>
      <w:r w:rsidR="00930328">
        <w:rPr>
          <w:sz w:val="22"/>
          <w:szCs w:val="22"/>
        </w:rPr>
        <w:t>,</w:t>
      </w:r>
      <w:r w:rsidR="00974AE8">
        <w:rPr>
          <w:sz w:val="22"/>
          <w:szCs w:val="22"/>
        </w:rPr>
        <w:t xml:space="preserve"> including </w:t>
      </w:r>
      <w:r>
        <w:rPr>
          <w:sz w:val="22"/>
          <w:szCs w:val="22"/>
        </w:rPr>
        <w:t xml:space="preserve">the Central Coast, </w:t>
      </w:r>
      <w:r w:rsidR="00930328">
        <w:rPr>
          <w:sz w:val="22"/>
          <w:szCs w:val="22"/>
        </w:rPr>
        <w:t xml:space="preserve">have seen significant growth in </w:t>
      </w:r>
      <w:r>
        <w:rPr>
          <w:sz w:val="22"/>
          <w:szCs w:val="22"/>
        </w:rPr>
        <w:t>short</w:t>
      </w:r>
      <w:r w:rsidR="00CF796A">
        <w:rPr>
          <w:sz w:val="22"/>
          <w:szCs w:val="22"/>
        </w:rPr>
        <w:t xml:space="preserve">-stay </w:t>
      </w:r>
      <w:r>
        <w:rPr>
          <w:sz w:val="22"/>
          <w:szCs w:val="22"/>
        </w:rPr>
        <w:t>rental properties</w:t>
      </w:r>
      <w:r w:rsidR="00930328">
        <w:rPr>
          <w:sz w:val="22"/>
          <w:szCs w:val="22"/>
        </w:rPr>
        <w:t xml:space="preserve">.  Research by SQM showed that between July 2019 and July 2020 short term rental in Wyong increased by 2% </w:t>
      </w:r>
      <w:r w:rsidR="009C2570">
        <w:rPr>
          <w:sz w:val="22"/>
          <w:szCs w:val="22"/>
        </w:rPr>
        <w:t>from 2,619 to 2,662</w:t>
      </w:r>
      <w:r>
        <w:rPr>
          <w:sz w:val="22"/>
          <w:szCs w:val="22"/>
        </w:rPr>
        <w:t xml:space="preserve">. </w:t>
      </w:r>
      <w:r w:rsidR="00930328">
        <w:rPr>
          <w:sz w:val="22"/>
          <w:szCs w:val="22"/>
        </w:rPr>
        <w:t xml:space="preserve"> Since 2020 it is likely that these listings have picked up further.</w:t>
      </w:r>
    </w:p>
    <w:p w14:paraId="02920B1B" w14:textId="77777777" w:rsidR="00CA0A12" w:rsidRPr="00CA0A12" w:rsidRDefault="00CA0A12" w:rsidP="00CA0A12">
      <w:pPr>
        <w:numPr>
          <w:ilvl w:val="0"/>
          <w:numId w:val="31"/>
        </w:numPr>
        <w:spacing w:before="0" w:after="0"/>
        <w:rPr>
          <w:sz w:val="22"/>
          <w:szCs w:val="22"/>
        </w:rPr>
      </w:pPr>
      <w:r w:rsidRPr="00CA0A12">
        <w:rPr>
          <w:sz w:val="22"/>
          <w:szCs w:val="22"/>
        </w:rPr>
        <w:t xml:space="preserve">Even in towns where Airbnb listings have not rebounded to normal levels there are more short-stay lets on offer than long-term rental properties, triggering </w:t>
      </w:r>
      <w:r w:rsidRPr="00CA0A12">
        <w:rPr>
          <w:sz w:val="22"/>
          <w:szCs w:val="22"/>
        </w:rPr>
        <w:lastRenderedPageBreak/>
        <w:t>concern that if short-stay listings normalise the consequences wil</w:t>
      </w:r>
      <w:r>
        <w:rPr>
          <w:sz w:val="22"/>
          <w:szCs w:val="22"/>
        </w:rPr>
        <w:t>l be grim for would-be tenants.</w:t>
      </w:r>
    </w:p>
    <w:p w14:paraId="37C0C002" w14:textId="77777777" w:rsidR="00CA0A12" w:rsidRPr="00A73BB0" w:rsidRDefault="00CA0A12" w:rsidP="00CA0A12">
      <w:pPr>
        <w:numPr>
          <w:ilvl w:val="0"/>
          <w:numId w:val="31"/>
        </w:numPr>
        <w:spacing w:before="0" w:after="0"/>
        <w:rPr>
          <w:sz w:val="22"/>
          <w:szCs w:val="22"/>
        </w:rPr>
      </w:pPr>
      <w:r w:rsidRPr="00CA0A12">
        <w:rPr>
          <w:sz w:val="22"/>
          <w:szCs w:val="22"/>
        </w:rPr>
        <w:t xml:space="preserve">Both supply and demand for rental properties have been hit by the pandemic. </w:t>
      </w:r>
      <w:r w:rsidR="00F208BE">
        <w:rPr>
          <w:sz w:val="22"/>
          <w:szCs w:val="22"/>
        </w:rPr>
        <w:t>Sea and t</w:t>
      </w:r>
      <w:r w:rsidRPr="00CA0A12">
        <w:rPr>
          <w:sz w:val="22"/>
          <w:szCs w:val="22"/>
        </w:rPr>
        <w:t xml:space="preserve">ree-changers who could work remotely moved out of capital cities and secured rentals in </w:t>
      </w:r>
      <w:r w:rsidR="00F208BE">
        <w:rPr>
          <w:sz w:val="22"/>
          <w:szCs w:val="22"/>
        </w:rPr>
        <w:t xml:space="preserve">coastal areas and </w:t>
      </w:r>
      <w:r w:rsidRPr="00CA0A12">
        <w:rPr>
          <w:sz w:val="22"/>
          <w:szCs w:val="22"/>
        </w:rPr>
        <w:t>regional towns or bought properties from landlords to convert to owner-occupied housing.</w:t>
      </w:r>
    </w:p>
    <w:p w14:paraId="7892E537" w14:textId="77777777" w:rsidR="00974AE8" w:rsidRDefault="00974AE8" w:rsidP="00CA0A12">
      <w:pPr>
        <w:spacing w:before="0" w:after="0"/>
        <w:ind w:left="360"/>
        <w:rPr>
          <w:sz w:val="22"/>
          <w:szCs w:val="22"/>
        </w:rPr>
      </w:pPr>
    </w:p>
    <w:p w14:paraId="367073AE" w14:textId="77777777" w:rsidR="00FE6C37" w:rsidRPr="000176E5" w:rsidRDefault="00FE6C37" w:rsidP="00CA0A12">
      <w:pPr>
        <w:spacing w:before="0" w:after="0"/>
        <w:ind w:left="360"/>
        <w:rPr>
          <w:sz w:val="22"/>
          <w:szCs w:val="22"/>
        </w:rPr>
      </w:pPr>
    </w:p>
    <w:p w14:paraId="1312A811" w14:textId="77777777" w:rsidR="00E1656E" w:rsidRPr="00560A23" w:rsidRDefault="00E1656E" w:rsidP="00E1656E">
      <w:pPr>
        <w:jc w:val="both"/>
        <w:rPr>
          <w:b/>
          <w:color w:val="008000"/>
          <w:sz w:val="32"/>
        </w:rPr>
      </w:pPr>
      <w:r w:rsidRPr="00BC0C95">
        <w:rPr>
          <w:b/>
          <w:color w:val="008000"/>
          <w:sz w:val="32"/>
        </w:rPr>
        <w:t>Re</w:t>
      </w:r>
      <w:r w:rsidRPr="00560A23">
        <w:rPr>
          <w:b/>
          <w:color w:val="008000"/>
          <w:sz w:val="32"/>
        </w:rPr>
        <w:t>ntal Stress</w:t>
      </w:r>
    </w:p>
    <w:p w14:paraId="4DC63D16" w14:textId="77777777" w:rsidR="00C641B3" w:rsidRPr="001130CD" w:rsidRDefault="00C641B3" w:rsidP="00C641B3">
      <w:pPr>
        <w:numPr>
          <w:ilvl w:val="0"/>
          <w:numId w:val="20"/>
        </w:numPr>
        <w:spacing w:before="0" w:after="0"/>
        <w:rPr>
          <w:sz w:val="22"/>
          <w:szCs w:val="22"/>
        </w:rPr>
      </w:pPr>
      <w:r w:rsidRPr="001130CD">
        <w:rPr>
          <w:sz w:val="22"/>
          <w:szCs w:val="22"/>
        </w:rPr>
        <w:t xml:space="preserve">Households are regarded as being in rental stress when renting in the private rental market and paying more than 30% of their income in rent.  Lower income households in rental stress will struggle to pay for other essential household costs, such as medical or educational expenses, food, transport and energy costs. </w:t>
      </w:r>
    </w:p>
    <w:p w14:paraId="49225593" w14:textId="77777777" w:rsidR="00C641B3" w:rsidRPr="001130CD" w:rsidRDefault="00C641B3" w:rsidP="00214EA2">
      <w:pPr>
        <w:numPr>
          <w:ilvl w:val="0"/>
          <w:numId w:val="20"/>
        </w:numPr>
        <w:spacing w:before="0" w:after="0"/>
        <w:jc w:val="both"/>
        <w:rPr>
          <w:sz w:val="22"/>
          <w:szCs w:val="22"/>
        </w:rPr>
      </w:pPr>
      <w:r w:rsidRPr="001130CD">
        <w:rPr>
          <w:sz w:val="22"/>
          <w:szCs w:val="22"/>
        </w:rPr>
        <w:t xml:space="preserve">At June </w:t>
      </w:r>
      <w:r w:rsidR="00BD7E7E" w:rsidRPr="001130CD">
        <w:rPr>
          <w:sz w:val="22"/>
          <w:szCs w:val="22"/>
        </w:rPr>
        <w:t>2021,</w:t>
      </w:r>
      <w:r w:rsidRPr="001130CD">
        <w:rPr>
          <w:sz w:val="22"/>
          <w:szCs w:val="22"/>
        </w:rPr>
        <w:t xml:space="preserve"> the proportion of very low income households in rental stress in the Rest of NSW (that is, excluding Sydney) was 91.7%.  In the Central Coast the proportion was 93.7% - above the average for the Rest of NSW and just below the average for Greater Sydney of 94.0%</w:t>
      </w:r>
    </w:p>
    <w:p w14:paraId="4539C769" w14:textId="77777777" w:rsidR="00E1656E" w:rsidRPr="00E7368F" w:rsidRDefault="007A2915" w:rsidP="00E1656E">
      <w:pPr>
        <w:numPr>
          <w:ilvl w:val="0"/>
          <w:numId w:val="20"/>
        </w:numPr>
        <w:spacing w:before="0" w:after="0"/>
        <w:jc w:val="both"/>
        <w:rPr>
          <w:sz w:val="22"/>
          <w:szCs w:val="22"/>
        </w:rPr>
      </w:pPr>
      <w:r w:rsidRPr="00E7368F">
        <w:rPr>
          <w:sz w:val="22"/>
          <w:szCs w:val="22"/>
        </w:rPr>
        <w:t xml:space="preserve">Central Coast </w:t>
      </w:r>
      <w:r w:rsidR="002A07FD" w:rsidRPr="00E7368F">
        <w:rPr>
          <w:sz w:val="22"/>
          <w:szCs w:val="22"/>
        </w:rPr>
        <w:t>(</w:t>
      </w:r>
      <w:r w:rsidR="001A6426" w:rsidRPr="00E7368F">
        <w:rPr>
          <w:sz w:val="22"/>
          <w:szCs w:val="22"/>
        </w:rPr>
        <w:t>57.5</w:t>
      </w:r>
      <w:r w:rsidR="002A07FD" w:rsidRPr="00E7368F">
        <w:rPr>
          <w:sz w:val="22"/>
          <w:szCs w:val="22"/>
        </w:rPr>
        <w:t>%)</w:t>
      </w:r>
      <w:r w:rsidRPr="00E7368F">
        <w:rPr>
          <w:sz w:val="22"/>
          <w:szCs w:val="22"/>
        </w:rPr>
        <w:t xml:space="preserve"> has </w:t>
      </w:r>
      <w:r w:rsidR="001A6426" w:rsidRPr="00E7368F">
        <w:rPr>
          <w:sz w:val="22"/>
          <w:szCs w:val="22"/>
        </w:rPr>
        <w:t xml:space="preserve">lower </w:t>
      </w:r>
      <w:r w:rsidR="00E1656E" w:rsidRPr="00E7368F">
        <w:rPr>
          <w:sz w:val="22"/>
          <w:szCs w:val="22"/>
        </w:rPr>
        <w:t xml:space="preserve">levels of low income households in rental stress than the average of </w:t>
      </w:r>
      <w:r w:rsidR="001A6426" w:rsidRPr="00E7368F">
        <w:rPr>
          <w:sz w:val="22"/>
          <w:szCs w:val="22"/>
        </w:rPr>
        <w:t>6</w:t>
      </w:r>
      <w:r w:rsidR="002A07FD" w:rsidRPr="00E7368F">
        <w:rPr>
          <w:sz w:val="22"/>
          <w:szCs w:val="22"/>
        </w:rPr>
        <w:t>8</w:t>
      </w:r>
      <w:r w:rsidR="001A6426" w:rsidRPr="00E7368F">
        <w:rPr>
          <w:sz w:val="22"/>
          <w:szCs w:val="22"/>
        </w:rPr>
        <w:t>.3</w:t>
      </w:r>
      <w:r w:rsidR="00E1656E" w:rsidRPr="00E7368F">
        <w:rPr>
          <w:sz w:val="22"/>
          <w:szCs w:val="22"/>
        </w:rPr>
        <w:t>% for the Rest of</w:t>
      </w:r>
      <w:r w:rsidR="002A07FD" w:rsidRPr="00E7368F">
        <w:rPr>
          <w:sz w:val="22"/>
          <w:szCs w:val="22"/>
        </w:rPr>
        <w:t xml:space="preserve"> NSW </w:t>
      </w:r>
      <w:r w:rsidR="001A6426" w:rsidRPr="00E7368F">
        <w:rPr>
          <w:sz w:val="22"/>
          <w:szCs w:val="22"/>
        </w:rPr>
        <w:t xml:space="preserve">and </w:t>
      </w:r>
      <w:r w:rsidR="002A07FD" w:rsidRPr="00E7368F">
        <w:rPr>
          <w:sz w:val="22"/>
          <w:szCs w:val="22"/>
        </w:rPr>
        <w:t>lower than Greater Sydney (</w:t>
      </w:r>
      <w:r w:rsidR="001A6426" w:rsidRPr="00E7368F">
        <w:rPr>
          <w:sz w:val="22"/>
          <w:szCs w:val="22"/>
        </w:rPr>
        <w:t>61.4</w:t>
      </w:r>
      <w:r w:rsidR="002A07FD" w:rsidRPr="00E7368F">
        <w:rPr>
          <w:sz w:val="22"/>
          <w:szCs w:val="22"/>
        </w:rPr>
        <w:t>%)</w:t>
      </w:r>
      <w:r w:rsidR="00E1656E" w:rsidRPr="00E7368F">
        <w:rPr>
          <w:sz w:val="22"/>
          <w:szCs w:val="22"/>
        </w:rPr>
        <w:t xml:space="preserve">.  </w:t>
      </w:r>
    </w:p>
    <w:p w14:paraId="54A3ED45" w14:textId="77777777" w:rsidR="003A3F91" w:rsidRDefault="00E1656E">
      <w:pPr>
        <w:numPr>
          <w:ilvl w:val="0"/>
          <w:numId w:val="20"/>
        </w:numPr>
        <w:spacing w:before="0" w:after="0"/>
        <w:jc w:val="both"/>
        <w:rPr>
          <w:sz w:val="22"/>
          <w:szCs w:val="22"/>
        </w:rPr>
      </w:pPr>
      <w:r w:rsidRPr="00E7368F">
        <w:rPr>
          <w:sz w:val="22"/>
          <w:szCs w:val="22"/>
        </w:rPr>
        <w:t>At the 20</w:t>
      </w:r>
      <w:r w:rsidR="00194E4A" w:rsidRPr="00E7368F">
        <w:rPr>
          <w:sz w:val="22"/>
          <w:szCs w:val="22"/>
        </w:rPr>
        <w:t>21</w:t>
      </w:r>
      <w:r w:rsidRPr="00E7368F">
        <w:rPr>
          <w:sz w:val="22"/>
          <w:szCs w:val="22"/>
        </w:rPr>
        <w:t xml:space="preserve"> </w:t>
      </w:r>
      <w:r w:rsidR="00BD7E7E" w:rsidRPr="00E7368F">
        <w:rPr>
          <w:sz w:val="22"/>
          <w:szCs w:val="22"/>
        </w:rPr>
        <w:t>Census,</w:t>
      </w:r>
      <w:r w:rsidRPr="00E7368F">
        <w:rPr>
          <w:sz w:val="22"/>
          <w:szCs w:val="22"/>
        </w:rPr>
        <w:t xml:space="preserve"> </w:t>
      </w:r>
      <w:r w:rsidR="003A3F91">
        <w:rPr>
          <w:sz w:val="22"/>
          <w:szCs w:val="22"/>
        </w:rPr>
        <w:t>there were 7,782 very low income renters in housing stress in the Central Coast – up from 7</w:t>
      </w:r>
      <w:r w:rsidR="007528E9">
        <w:rPr>
          <w:sz w:val="22"/>
          <w:szCs w:val="22"/>
        </w:rPr>
        <w:t xml:space="preserve">093 </w:t>
      </w:r>
      <w:r w:rsidR="003A3F91">
        <w:rPr>
          <w:sz w:val="22"/>
          <w:szCs w:val="22"/>
        </w:rPr>
        <w:t xml:space="preserve">in 2016 or a </w:t>
      </w:r>
      <w:r w:rsidR="007528E9">
        <w:rPr>
          <w:sz w:val="22"/>
          <w:szCs w:val="22"/>
        </w:rPr>
        <w:t>9.7</w:t>
      </w:r>
      <w:r w:rsidR="003A3F91">
        <w:rPr>
          <w:sz w:val="22"/>
          <w:szCs w:val="22"/>
        </w:rPr>
        <w:t xml:space="preserve">% increase.  </w:t>
      </w:r>
    </w:p>
    <w:p w14:paraId="2FD26003" w14:textId="77777777" w:rsidR="003A3F91" w:rsidRDefault="007528E9">
      <w:pPr>
        <w:numPr>
          <w:ilvl w:val="0"/>
          <w:numId w:val="20"/>
        </w:numPr>
        <w:spacing w:before="0" w:after="0"/>
        <w:jc w:val="both"/>
        <w:rPr>
          <w:sz w:val="22"/>
          <w:szCs w:val="22"/>
        </w:rPr>
      </w:pPr>
      <w:r>
        <w:rPr>
          <w:sz w:val="22"/>
          <w:szCs w:val="22"/>
        </w:rPr>
        <w:t>A</w:t>
      </w:r>
      <w:r w:rsidR="003A3F91">
        <w:rPr>
          <w:sz w:val="22"/>
          <w:szCs w:val="22"/>
        </w:rPr>
        <w:t>t the 2021 Census, there were</w:t>
      </w:r>
      <w:r>
        <w:rPr>
          <w:sz w:val="22"/>
          <w:szCs w:val="22"/>
        </w:rPr>
        <w:t xml:space="preserve"> a further</w:t>
      </w:r>
      <w:r w:rsidR="003A3F91">
        <w:rPr>
          <w:sz w:val="22"/>
          <w:szCs w:val="22"/>
        </w:rPr>
        <w:t xml:space="preserve"> 4,663 low income renters in housing stress in the Central Coast</w:t>
      </w:r>
      <w:r>
        <w:rPr>
          <w:sz w:val="22"/>
          <w:szCs w:val="22"/>
        </w:rPr>
        <w:t>, up from 4,278 in 2016, or a 9.0% increase.</w:t>
      </w:r>
    </w:p>
    <w:p w14:paraId="34BA14CE" w14:textId="77777777" w:rsidR="009B5167" w:rsidRDefault="009B5167" w:rsidP="009B5167">
      <w:pPr>
        <w:pStyle w:val="ListParagraph"/>
        <w:numPr>
          <w:ilvl w:val="0"/>
          <w:numId w:val="20"/>
        </w:numPr>
        <w:spacing w:before="0" w:after="0"/>
        <w:rPr>
          <w:sz w:val="22"/>
          <w:szCs w:val="22"/>
        </w:rPr>
      </w:pPr>
      <w:r w:rsidRPr="001130CD">
        <w:rPr>
          <w:sz w:val="22"/>
          <w:szCs w:val="22"/>
        </w:rPr>
        <w:t>Below is a graph of the proportion of very low and low income households in rental stress in the Central Coast at 2021 and a table showing the change in the proportion of very low and low income households in stress between 2016 and 2021.</w:t>
      </w:r>
    </w:p>
    <w:p w14:paraId="61BCE1C6" w14:textId="77777777" w:rsidR="00CA0A12" w:rsidRPr="00966F4A" w:rsidRDefault="00CA0A12" w:rsidP="00966F4A">
      <w:pPr>
        <w:spacing w:before="0" w:after="0"/>
        <w:rPr>
          <w:sz w:val="22"/>
          <w:szCs w:val="22"/>
        </w:rPr>
      </w:pPr>
    </w:p>
    <w:p w14:paraId="262E58F3" w14:textId="77777777" w:rsidR="00BD7E7E" w:rsidRDefault="00091AA4" w:rsidP="00966F4A">
      <w:pPr>
        <w:pStyle w:val="ListParagraph"/>
        <w:spacing w:before="0" w:after="0"/>
        <w:ind w:left="360"/>
        <w:rPr>
          <w:sz w:val="22"/>
          <w:szCs w:val="22"/>
        </w:rPr>
      </w:pPr>
      <w:r>
        <w:rPr>
          <w:noProof/>
          <w:sz w:val="22"/>
          <w:szCs w:val="22"/>
        </w:rPr>
        <w:lastRenderedPageBreak/>
        <w:drawing>
          <wp:inline distT="0" distB="0" distL="0" distR="0" wp14:anchorId="2F1A1F84" wp14:editId="1837E937">
            <wp:extent cx="5700395" cy="33407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0395" cy="3340735"/>
                    </a:xfrm>
                    <a:prstGeom prst="rect">
                      <a:avLst/>
                    </a:prstGeom>
                    <a:noFill/>
                  </pic:spPr>
                </pic:pic>
              </a:graphicData>
            </a:graphic>
          </wp:inline>
        </w:drawing>
      </w:r>
    </w:p>
    <w:p w14:paraId="5B172AF5" w14:textId="77777777" w:rsidR="00BD7E7E" w:rsidRDefault="00BD7E7E" w:rsidP="00966F4A">
      <w:pPr>
        <w:spacing w:before="0" w:after="0"/>
        <w:rPr>
          <w:sz w:val="22"/>
          <w:szCs w:val="22"/>
        </w:rPr>
      </w:pPr>
    </w:p>
    <w:p w14:paraId="22D7DA30" w14:textId="77777777" w:rsidR="00DD1AAB" w:rsidRDefault="00DD1AAB" w:rsidP="00966F4A">
      <w:pPr>
        <w:spacing w:before="0" w:after="0"/>
        <w:rPr>
          <w:sz w:val="22"/>
          <w:szCs w:val="22"/>
        </w:rPr>
      </w:pPr>
    </w:p>
    <w:p w14:paraId="4DDA2D77" w14:textId="77777777" w:rsidR="003F3EFD" w:rsidRDefault="00B73041" w:rsidP="00966F4A">
      <w:pPr>
        <w:spacing w:before="0" w:after="0"/>
        <w:rPr>
          <w:sz w:val="22"/>
          <w:szCs w:val="22"/>
        </w:rPr>
      </w:pPr>
      <w:r>
        <w:rPr>
          <w:sz w:val="22"/>
          <w:szCs w:val="22"/>
        </w:rPr>
        <w:tab/>
      </w:r>
      <w:r w:rsidR="000E2711" w:rsidRPr="000E2711">
        <w:rPr>
          <w:noProof/>
        </w:rPr>
        <w:drawing>
          <wp:inline distT="0" distB="0" distL="0" distR="0" wp14:anchorId="33FAA9CA" wp14:editId="325076D0">
            <wp:extent cx="3562350" cy="2038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350" cy="2038350"/>
                    </a:xfrm>
                    <a:prstGeom prst="rect">
                      <a:avLst/>
                    </a:prstGeom>
                    <a:noFill/>
                    <a:ln>
                      <a:noFill/>
                    </a:ln>
                  </pic:spPr>
                </pic:pic>
              </a:graphicData>
            </a:graphic>
          </wp:inline>
        </w:drawing>
      </w:r>
    </w:p>
    <w:p w14:paraId="460F19C1" w14:textId="77777777" w:rsidR="003F3EFD" w:rsidRDefault="003F3EFD" w:rsidP="00966F4A">
      <w:pPr>
        <w:spacing w:before="0" w:after="0"/>
        <w:rPr>
          <w:sz w:val="22"/>
          <w:szCs w:val="22"/>
        </w:rPr>
      </w:pPr>
    </w:p>
    <w:p w14:paraId="4C5BCDB1" w14:textId="77777777" w:rsidR="003F3EFD" w:rsidRPr="00966F4A" w:rsidRDefault="003F3EFD" w:rsidP="00966F4A">
      <w:pPr>
        <w:spacing w:before="0" w:after="0"/>
        <w:rPr>
          <w:sz w:val="22"/>
          <w:szCs w:val="22"/>
        </w:rPr>
      </w:pPr>
    </w:p>
    <w:p w14:paraId="78EECB33" w14:textId="77777777" w:rsidR="001E17F6" w:rsidRDefault="001E17F6" w:rsidP="001E17F6">
      <w:pPr>
        <w:pStyle w:val="ListParagraph"/>
        <w:numPr>
          <w:ilvl w:val="0"/>
          <w:numId w:val="45"/>
        </w:numPr>
        <w:spacing w:before="0" w:after="0"/>
        <w:rPr>
          <w:sz w:val="22"/>
          <w:szCs w:val="22"/>
        </w:rPr>
      </w:pPr>
      <w:r>
        <w:rPr>
          <w:sz w:val="22"/>
          <w:szCs w:val="22"/>
        </w:rPr>
        <w:t>The next table shows the change in the number of very low and low income households in rental stress at 2016 and at 2021.</w:t>
      </w:r>
    </w:p>
    <w:p w14:paraId="7BF663CD" w14:textId="77777777" w:rsidR="00C60815" w:rsidRPr="00966F4A" w:rsidRDefault="00C60815" w:rsidP="00E1656E">
      <w:pPr>
        <w:jc w:val="both"/>
        <w:rPr>
          <w:sz w:val="20"/>
          <w:szCs w:val="20"/>
        </w:rPr>
      </w:pPr>
    </w:p>
    <w:p w14:paraId="365FAE7A" w14:textId="77777777" w:rsidR="004226F2" w:rsidRPr="00966F4A" w:rsidRDefault="000E2711" w:rsidP="007C3B0B">
      <w:pPr>
        <w:rPr>
          <w:sz w:val="20"/>
          <w:szCs w:val="20"/>
        </w:rPr>
      </w:pPr>
      <w:r w:rsidRPr="000E2711">
        <w:rPr>
          <w:noProof/>
        </w:rPr>
        <w:lastRenderedPageBreak/>
        <w:drawing>
          <wp:inline distT="0" distB="0" distL="0" distR="0" wp14:anchorId="53EAC787" wp14:editId="70F56832">
            <wp:extent cx="5274310" cy="185019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1850194"/>
                    </a:xfrm>
                    <a:prstGeom prst="rect">
                      <a:avLst/>
                    </a:prstGeom>
                    <a:noFill/>
                    <a:ln>
                      <a:noFill/>
                    </a:ln>
                  </pic:spPr>
                </pic:pic>
              </a:graphicData>
            </a:graphic>
          </wp:inline>
        </w:drawing>
      </w:r>
    </w:p>
    <w:p w14:paraId="0FB553AB" w14:textId="77777777" w:rsidR="00C60815" w:rsidRPr="00A342AC" w:rsidRDefault="00C60815" w:rsidP="00A342AC">
      <w:pPr>
        <w:rPr>
          <w:sz w:val="22"/>
          <w:szCs w:val="22"/>
        </w:rPr>
      </w:pPr>
    </w:p>
    <w:p w14:paraId="3A577654" w14:textId="77777777" w:rsidR="000E2711" w:rsidRDefault="000E2711" w:rsidP="009C5356">
      <w:pPr>
        <w:pStyle w:val="ListParagraph"/>
        <w:numPr>
          <w:ilvl w:val="0"/>
          <w:numId w:val="46"/>
        </w:numPr>
        <w:spacing w:before="0" w:after="0"/>
        <w:rPr>
          <w:sz w:val="22"/>
          <w:szCs w:val="22"/>
        </w:rPr>
      </w:pPr>
      <w:r>
        <w:rPr>
          <w:sz w:val="22"/>
          <w:szCs w:val="22"/>
        </w:rPr>
        <w:t>In summary, while the number of both very low and low income rental households in stress increased between 2016 and 2021, the proportion of very low and low income renters in stress declined.</w:t>
      </w:r>
    </w:p>
    <w:p w14:paraId="486338A0" w14:textId="77777777" w:rsidR="00B63D83" w:rsidRDefault="001E17F6" w:rsidP="009C5356">
      <w:pPr>
        <w:pStyle w:val="ListParagraph"/>
        <w:numPr>
          <w:ilvl w:val="0"/>
          <w:numId w:val="46"/>
        </w:numPr>
        <w:spacing w:before="0" w:after="0"/>
        <w:rPr>
          <w:sz w:val="22"/>
          <w:szCs w:val="22"/>
        </w:rPr>
      </w:pPr>
      <w:r w:rsidRPr="001E17F6">
        <w:rPr>
          <w:sz w:val="22"/>
          <w:szCs w:val="22"/>
        </w:rPr>
        <w:t xml:space="preserve">A look at CRA (Commonwealth Rent Assistance) recipients in housing stress gives some further information on what has been happening with lower income households in rental stress over this time </w:t>
      </w:r>
      <w:r w:rsidR="00BD7E7E" w:rsidRPr="001E17F6">
        <w:rPr>
          <w:sz w:val="22"/>
          <w:szCs w:val="22"/>
        </w:rPr>
        <w:t>frame</w:t>
      </w:r>
      <w:r w:rsidR="00B63D83">
        <w:rPr>
          <w:sz w:val="22"/>
          <w:szCs w:val="22"/>
        </w:rPr>
        <w:t xml:space="preserve"> and explains why the proportion of very low and low income renters in stress declined between 2016 and 2021</w:t>
      </w:r>
      <w:r w:rsidR="00BD7E7E" w:rsidRPr="001E17F6">
        <w:rPr>
          <w:sz w:val="22"/>
          <w:szCs w:val="22"/>
        </w:rPr>
        <w:t>.</w:t>
      </w:r>
      <w:r w:rsidR="00BD7E7E" w:rsidRPr="005B4311">
        <w:rPr>
          <w:sz w:val="22"/>
          <w:szCs w:val="22"/>
        </w:rPr>
        <w:t xml:space="preserve"> </w:t>
      </w:r>
    </w:p>
    <w:p w14:paraId="2180303D" w14:textId="77777777" w:rsidR="009C5356" w:rsidRDefault="00BD7E7E" w:rsidP="009C5356">
      <w:pPr>
        <w:pStyle w:val="ListParagraph"/>
        <w:numPr>
          <w:ilvl w:val="0"/>
          <w:numId w:val="46"/>
        </w:numPr>
        <w:spacing w:before="0" w:after="0"/>
        <w:rPr>
          <w:sz w:val="22"/>
          <w:szCs w:val="22"/>
        </w:rPr>
      </w:pPr>
      <w:r w:rsidRPr="005B4311">
        <w:rPr>
          <w:sz w:val="22"/>
          <w:szCs w:val="22"/>
        </w:rPr>
        <w:t>In</w:t>
      </w:r>
      <w:r w:rsidR="009C5356" w:rsidRPr="005B4311">
        <w:rPr>
          <w:sz w:val="22"/>
          <w:szCs w:val="22"/>
        </w:rPr>
        <w:t xml:space="preserve"> line with</w:t>
      </w:r>
      <w:r w:rsidR="009C5356">
        <w:rPr>
          <w:sz w:val="22"/>
          <w:szCs w:val="22"/>
        </w:rPr>
        <w:t xml:space="preserve"> other parts of NSW, between 2016 and 2020, the total number of CRA recipients in the Central Coast increased significantly, while the number in stress actually declined.  However, between 2020 and 2021 the number of CRA recipients declined while the number in stress increased.</w:t>
      </w:r>
    </w:p>
    <w:p w14:paraId="4DC74D08" w14:textId="77777777" w:rsidR="009C5356" w:rsidRPr="00C36285" w:rsidRDefault="009C5356" w:rsidP="009C5356">
      <w:pPr>
        <w:pStyle w:val="ListParagraph"/>
        <w:numPr>
          <w:ilvl w:val="0"/>
          <w:numId w:val="46"/>
        </w:numPr>
        <w:rPr>
          <w:sz w:val="22"/>
          <w:szCs w:val="22"/>
        </w:rPr>
      </w:pPr>
      <w:r w:rsidRPr="00C36285">
        <w:rPr>
          <w:sz w:val="22"/>
          <w:szCs w:val="22"/>
        </w:rPr>
        <w:t xml:space="preserve">The number of CRA recipients </w:t>
      </w:r>
      <w:r>
        <w:rPr>
          <w:sz w:val="22"/>
          <w:szCs w:val="22"/>
        </w:rPr>
        <w:t xml:space="preserve">in </w:t>
      </w:r>
      <w:r w:rsidRPr="00C36285">
        <w:rPr>
          <w:sz w:val="22"/>
          <w:szCs w:val="22"/>
        </w:rPr>
        <w:t xml:space="preserve">housing stress has increased from the June 2020 figures as the temporary Coronavirus Supplement ended on 31 March 2021. </w:t>
      </w:r>
    </w:p>
    <w:p w14:paraId="71E30093" w14:textId="77777777" w:rsidR="00253E47" w:rsidRDefault="00253E47" w:rsidP="00253E47">
      <w:pPr>
        <w:pStyle w:val="ListParagraph"/>
        <w:numPr>
          <w:ilvl w:val="0"/>
          <w:numId w:val="46"/>
        </w:numPr>
        <w:spacing w:before="0" w:after="0"/>
        <w:rPr>
          <w:sz w:val="22"/>
          <w:szCs w:val="22"/>
        </w:rPr>
      </w:pPr>
      <w:r>
        <w:rPr>
          <w:sz w:val="22"/>
          <w:szCs w:val="22"/>
        </w:rPr>
        <w:t xml:space="preserve">The </w:t>
      </w:r>
      <w:r w:rsidRPr="00C36285">
        <w:rPr>
          <w:sz w:val="22"/>
          <w:szCs w:val="22"/>
        </w:rPr>
        <w:t xml:space="preserve">Coronavirus Supplement was $550 per fortnight for new and existing recipients of </w:t>
      </w:r>
      <w:proofErr w:type="spellStart"/>
      <w:r w:rsidRPr="00C36285">
        <w:rPr>
          <w:sz w:val="22"/>
          <w:szCs w:val="22"/>
        </w:rPr>
        <w:t>JobSeeker</w:t>
      </w:r>
      <w:proofErr w:type="spellEnd"/>
      <w:r w:rsidRPr="00C36285">
        <w:rPr>
          <w:sz w:val="22"/>
          <w:szCs w:val="22"/>
        </w:rPr>
        <w:t xml:space="preserve"> Payment, Parenting Payment, Youth Allowance for jobseekers, Farm Household Allowance and Special Benefit. The temporary supplement almost doubled the maximum payment rate for a </w:t>
      </w:r>
      <w:proofErr w:type="spellStart"/>
      <w:r w:rsidRPr="00C36285">
        <w:rPr>
          <w:sz w:val="22"/>
          <w:szCs w:val="22"/>
        </w:rPr>
        <w:t>JobSeeker</w:t>
      </w:r>
      <w:proofErr w:type="spellEnd"/>
      <w:r w:rsidRPr="00C36285">
        <w:rPr>
          <w:sz w:val="22"/>
          <w:szCs w:val="22"/>
        </w:rPr>
        <w:t xml:space="preserve"> Payment recipient. </w:t>
      </w:r>
      <w:r w:rsidR="002A22CC" w:rsidRPr="00C36285">
        <w:rPr>
          <w:sz w:val="22"/>
          <w:szCs w:val="22"/>
        </w:rPr>
        <w:t>Hence,</w:t>
      </w:r>
      <w:r w:rsidRPr="00C36285">
        <w:rPr>
          <w:sz w:val="22"/>
          <w:szCs w:val="22"/>
        </w:rPr>
        <w:t xml:space="preserve"> it made rent more affordable for some CRA recipients in June 2020 and resulted in a lower proportion of CRA recipients </w:t>
      </w:r>
      <w:r w:rsidR="00B63D83">
        <w:rPr>
          <w:sz w:val="22"/>
          <w:szCs w:val="22"/>
        </w:rPr>
        <w:t xml:space="preserve">(very low and low income renters) </w:t>
      </w:r>
      <w:r w:rsidRPr="00C36285">
        <w:rPr>
          <w:sz w:val="22"/>
          <w:szCs w:val="22"/>
        </w:rPr>
        <w:t>in rental stress than usual</w:t>
      </w:r>
      <w:r>
        <w:rPr>
          <w:sz w:val="22"/>
          <w:szCs w:val="22"/>
        </w:rPr>
        <w:t>.</w:t>
      </w:r>
    </w:p>
    <w:p w14:paraId="2C99EAFC" w14:textId="77777777" w:rsidR="00253E47" w:rsidRDefault="007A7931" w:rsidP="00253E47">
      <w:pPr>
        <w:pStyle w:val="ListParagraph"/>
        <w:numPr>
          <w:ilvl w:val="0"/>
          <w:numId w:val="46"/>
        </w:numPr>
        <w:spacing w:before="0" w:after="0"/>
        <w:rPr>
          <w:sz w:val="22"/>
          <w:szCs w:val="22"/>
        </w:rPr>
      </w:pPr>
      <w:r>
        <w:rPr>
          <w:sz w:val="22"/>
          <w:szCs w:val="22"/>
        </w:rPr>
        <w:t>In addition, s</w:t>
      </w:r>
      <w:r w:rsidR="00253E47">
        <w:rPr>
          <w:sz w:val="22"/>
          <w:szCs w:val="22"/>
        </w:rPr>
        <w:t>ince the end of Covid restrictions, the number of people in employment has increased, so fewer people are relying on rent assistance from the Commonwealth.</w:t>
      </w:r>
    </w:p>
    <w:p w14:paraId="27D88876" w14:textId="77777777" w:rsidR="00253E47" w:rsidRDefault="00253E47" w:rsidP="00253E47">
      <w:pPr>
        <w:pStyle w:val="ListParagraph"/>
        <w:numPr>
          <w:ilvl w:val="0"/>
          <w:numId w:val="46"/>
        </w:numPr>
        <w:spacing w:before="0" w:after="0"/>
        <w:rPr>
          <w:sz w:val="22"/>
          <w:szCs w:val="22"/>
        </w:rPr>
      </w:pPr>
      <w:r>
        <w:rPr>
          <w:sz w:val="22"/>
          <w:szCs w:val="22"/>
        </w:rPr>
        <w:t>This scenario is evident in the two graphs below.</w:t>
      </w:r>
    </w:p>
    <w:p w14:paraId="38F7D236" w14:textId="77777777" w:rsidR="00FE6C37" w:rsidRDefault="00FE6C37" w:rsidP="00FE6C37">
      <w:pPr>
        <w:numPr>
          <w:ilvl w:val="0"/>
          <w:numId w:val="46"/>
        </w:numPr>
        <w:spacing w:before="0" w:after="0"/>
        <w:rPr>
          <w:sz w:val="22"/>
          <w:szCs w:val="22"/>
        </w:rPr>
      </w:pPr>
      <w:r>
        <w:rPr>
          <w:sz w:val="22"/>
          <w:szCs w:val="22"/>
        </w:rPr>
        <w:t>Note that, a</w:t>
      </w:r>
      <w:r w:rsidRPr="00864BE2">
        <w:rPr>
          <w:sz w:val="22"/>
          <w:szCs w:val="22"/>
        </w:rPr>
        <w:t xml:space="preserve">ccording to SGS Economics and Planning Rental Affordability Index of November 2022 “Regional rental markets were not exposed to </w:t>
      </w:r>
      <w:r w:rsidR="002E4BDE">
        <w:rPr>
          <w:sz w:val="22"/>
          <w:szCs w:val="22"/>
        </w:rPr>
        <w:t xml:space="preserve">the same </w:t>
      </w:r>
      <w:r w:rsidRPr="00864BE2">
        <w:rPr>
          <w:sz w:val="22"/>
          <w:szCs w:val="22"/>
        </w:rPr>
        <w:t>COVID-19 restrictions that capital cities were; therefore, the rebound from the pandemic played out differently. While Australia’s regions were spared the worst of pandemic response measures, there has been concern regarding the impacts of outward-migrating city residents on housing, and rental, affordability.  This phenomenon is observed in the most recent data, which shows that affordability has worsened in the regional areas of every state, even more so than in the capital cities (P55)”</w:t>
      </w:r>
      <w:r>
        <w:rPr>
          <w:sz w:val="22"/>
          <w:szCs w:val="22"/>
        </w:rPr>
        <w:t>.</w:t>
      </w:r>
    </w:p>
    <w:p w14:paraId="16483610" w14:textId="77777777" w:rsidR="00D7260D" w:rsidRPr="00864BE2" w:rsidRDefault="00D7260D" w:rsidP="00FE6C37">
      <w:pPr>
        <w:numPr>
          <w:ilvl w:val="0"/>
          <w:numId w:val="46"/>
        </w:numPr>
        <w:spacing w:before="0" w:after="0"/>
        <w:rPr>
          <w:sz w:val="22"/>
          <w:szCs w:val="22"/>
        </w:rPr>
      </w:pPr>
      <w:r>
        <w:rPr>
          <w:sz w:val="22"/>
          <w:szCs w:val="22"/>
        </w:rPr>
        <w:t>The two graphs below compare the number of CRA recipients and the number in stress in the Central Coast, before and after additional Covid related income support.</w:t>
      </w:r>
    </w:p>
    <w:p w14:paraId="6B4ED27C" w14:textId="77777777" w:rsidR="00FE6C37" w:rsidRDefault="00FE6C37" w:rsidP="00FE6C37">
      <w:pPr>
        <w:pStyle w:val="ListParagraph"/>
        <w:spacing w:before="0" w:after="0"/>
        <w:ind w:left="360"/>
        <w:rPr>
          <w:sz w:val="22"/>
          <w:szCs w:val="22"/>
        </w:rPr>
      </w:pPr>
    </w:p>
    <w:p w14:paraId="49EDD49C" w14:textId="77777777" w:rsidR="00B8672F" w:rsidRDefault="00FF63E5" w:rsidP="00E1656E">
      <w:pPr>
        <w:jc w:val="both"/>
        <w:rPr>
          <w:sz w:val="20"/>
          <w:szCs w:val="20"/>
        </w:rPr>
      </w:pPr>
      <w:r>
        <w:rPr>
          <w:noProof/>
        </w:rPr>
        <w:drawing>
          <wp:inline distT="0" distB="0" distL="0" distR="0" wp14:anchorId="11AB446C" wp14:editId="726C9941">
            <wp:extent cx="5274310" cy="3055620"/>
            <wp:effectExtent l="0" t="0" r="2540"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023E5C" w14:textId="77777777" w:rsidR="00B8672F" w:rsidRPr="00DD06C2" w:rsidRDefault="00FF63E5" w:rsidP="00E1656E">
      <w:pPr>
        <w:jc w:val="both"/>
        <w:rPr>
          <w:sz w:val="20"/>
          <w:szCs w:val="20"/>
        </w:rPr>
      </w:pPr>
      <w:r>
        <w:rPr>
          <w:noProof/>
        </w:rPr>
        <w:drawing>
          <wp:inline distT="0" distB="0" distL="0" distR="0" wp14:anchorId="4B405164" wp14:editId="7D7F500D">
            <wp:extent cx="5274310" cy="2923540"/>
            <wp:effectExtent l="0" t="0" r="2540" b="1016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51F3986" w14:textId="77777777" w:rsidR="00075BC0" w:rsidRPr="00120052" w:rsidRDefault="00075BC0" w:rsidP="00075BC0">
      <w:pPr>
        <w:numPr>
          <w:ilvl w:val="0"/>
          <w:numId w:val="34"/>
        </w:numPr>
        <w:spacing w:before="0" w:after="0"/>
        <w:rPr>
          <w:sz w:val="22"/>
          <w:szCs w:val="22"/>
        </w:rPr>
      </w:pPr>
      <w:r w:rsidRPr="00120052">
        <w:rPr>
          <w:sz w:val="22"/>
          <w:szCs w:val="22"/>
        </w:rPr>
        <w:t xml:space="preserve">The table below shows the number and proportion of tenants in the </w:t>
      </w:r>
      <w:r w:rsidR="00D52189" w:rsidRPr="00D4119A">
        <w:rPr>
          <w:sz w:val="22"/>
          <w:szCs w:val="22"/>
        </w:rPr>
        <w:t>Central Coast</w:t>
      </w:r>
      <w:r w:rsidR="00D52189">
        <w:rPr>
          <w:sz w:val="22"/>
          <w:szCs w:val="22"/>
        </w:rPr>
        <w:t xml:space="preserve"> </w:t>
      </w:r>
      <w:r w:rsidRPr="00120052">
        <w:rPr>
          <w:sz w:val="22"/>
          <w:szCs w:val="22"/>
        </w:rPr>
        <w:t xml:space="preserve">who are in the private rental market, are in receipt of Commonwealth Rent Assistance, and even with this additional income support, are in housing stress.  </w:t>
      </w:r>
    </w:p>
    <w:p w14:paraId="39EE84F3" w14:textId="77777777" w:rsidR="00075BC0" w:rsidRDefault="00075BC0" w:rsidP="00075BC0">
      <w:pPr>
        <w:numPr>
          <w:ilvl w:val="0"/>
          <w:numId w:val="34"/>
        </w:numPr>
        <w:spacing w:before="0" w:after="0"/>
        <w:rPr>
          <w:sz w:val="22"/>
          <w:szCs w:val="22"/>
        </w:rPr>
      </w:pPr>
      <w:r w:rsidRPr="00120052">
        <w:rPr>
          <w:sz w:val="22"/>
          <w:szCs w:val="22"/>
        </w:rPr>
        <w:t>There were a total of</w:t>
      </w:r>
      <w:r>
        <w:rPr>
          <w:sz w:val="22"/>
          <w:szCs w:val="22"/>
        </w:rPr>
        <w:t xml:space="preserve"> </w:t>
      </w:r>
      <w:r w:rsidR="00D52189" w:rsidRPr="00D4119A">
        <w:rPr>
          <w:sz w:val="22"/>
          <w:szCs w:val="22"/>
        </w:rPr>
        <w:t>13,658</w:t>
      </w:r>
      <w:r w:rsidRPr="00120052">
        <w:rPr>
          <w:sz w:val="22"/>
          <w:szCs w:val="22"/>
        </w:rPr>
        <w:t xml:space="preserve"> tenants in receipt of CRA and in housing stress across the </w:t>
      </w:r>
      <w:r w:rsidR="00D52189" w:rsidRPr="00D4119A">
        <w:rPr>
          <w:sz w:val="22"/>
          <w:szCs w:val="22"/>
        </w:rPr>
        <w:t xml:space="preserve">Central </w:t>
      </w:r>
      <w:r w:rsidRPr="00D4119A">
        <w:rPr>
          <w:sz w:val="22"/>
          <w:szCs w:val="22"/>
        </w:rPr>
        <w:t>Coast</w:t>
      </w:r>
      <w:r w:rsidRPr="00120052">
        <w:rPr>
          <w:sz w:val="22"/>
          <w:szCs w:val="22"/>
        </w:rPr>
        <w:t xml:space="preserve"> in 20</w:t>
      </w:r>
      <w:r>
        <w:rPr>
          <w:sz w:val="22"/>
          <w:szCs w:val="22"/>
        </w:rPr>
        <w:t xml:space="preserve">21, up from </w:t>
      </w:r>
      <w:r w:rsidRPr="00D4119A">
        <w:rPr>
          <w:sz w:val="22"/>
          <w:szCs w:val="22"/>
        </w:rPr>
        <w:t>1</w:t>
      </w:r>
      <w:r w:rsidR="00D52189" w:rsidRPr="00D4119A">
        <w:rPr>
          <w:sz w:val="22"/>
          <w:szCs w:val="22"/>
        </w:rPr>
        <w:t>1,098</w:t>
      </w:r>
      <w:r>
        <w:rPr>
          <w:sz w:val="22"/>
          <w:szCs w:val="22"/>
        </w:rPr>
        <w:t xml:space="preserve"> in 2016</w:t>
      </w:r>
      <w:r w:rsidRPr="00120052">
        <w:rPr>
          <w:sz w:val="22"/>
          <w:szCs w:val="22"/>
        </w:rPr>
        <w:t xml:space="preserve">.  </w:t>
      </w:r>
    </w:p>
    <w:p w14:paraId="0E6F2BC2" w14:textId="77777777" w:rsidR="00075BC0" w:rsidRDefault="005B6857" w:rsidP="00075BC0">
      <w:pPr>
        <w:numPr>
          <w:ilvl w:val="0"/>
          <w:numId w:val="34"/>
        </w:numPr>
        <w:spacing w:before="0" w:after="0"/>
        <w:rPr>
          <w:sz w:val="22"/>
          <w:szCs w:val="22"/>
        </w:rPr>
      </w:pPr>
      <w:r>
        <w:rPr>
          <w:sz w:val="22"/>
          <w:szCs w:val="22"/>
        </w:rPr>
        <w:t>The Central Coast has a higher proportion of CRA recipients in housing stress (47.8%) than the Rest of NSW (39.2%) at 2021</w:t>
      </w:r>
      <w:r w:rsidR="00075BC0" w:rsidRPr="00120052">
        <w:rPr>
          <w:sz w:val="22"/>
          <w:szCs w:val="22"/>
        </w:rPr>
        <w:t xml:space="preserve">. </w:t>
      </w:r>
    </w:p>
    <w:p w14:paraId="59EE5DE8" w14:textId="77777777" w:rsidR="00D52189" w:rsidRDefault="00D52189" w:rsidP="00D4119A">
      <w:pPr>
        <w:spacing w:before="0" w:after="0"/>
        <w:rPr>
          <w:sz w:val="22"/>
          <w:szCs w:val="22"/>
        </w:rPr>
      </w:pPr>
    </w:p>
    <w:p w14:paraId="28958279" w14:textId="77777777" w:rsidR="00D52189" w:rsidRDefault="00581EE8" w:rsidP="00966F4A">
      <w:pPr>
        <w:spacing w:before="0" w:after="0"/>
        <w:ind w:left="360"/>
        <w:rPr>
          <w:sz w:val="22"/>
          <w:szCs w:val="22"/>
        </w:rPr>
      </w:pPr>
      <w:r>
        <w:rPr>
          <w:noProof/>
          <w:sz w:val="22"/>
          <w:szCs w:val="22"/>
        </w:rPr>
        <w:lastRenderedPageBreak/>
        <w:drawing>
          <wp:inline distT="0" distB="0" distL="0" distR="0" wp14:anchorId="182F040D" wp14:editId="5EBB2DFA">
            <wp:extent cx="2950845" cy="1688465"/>
            <wp:effectExtent l="0" t="0" r="190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0845" cy="1688465"/>
                    </a:xfrm>
                    <a:prstGeom prst="rect">
                      <a:avLst/>
                    </a:prstGeom>
                    <a:noFill/>
                  </pic:spPr>
                </pic:pic>
              </a:graphicData>
            </a:graphic>
          </wp:inline>
        </w:drawing>
      </w:r>
    </w:p>
    <w:p w14:paraId="0ABB12BC" w14:textId="77777777" w:rsidR="005B6857" w:rsidRDefault="005B6857" w:rsidP="00D4119A">
      <w:pPr>
        <w:spacing w:before="0" w:after="0"/>
        <w:rPr>
          <w:sz w:val="22"/>
          <w:szCs w:val="22"/>
        </w:rPr>
      </w:pPr>
    </w:p>
    <w:p w14:paraId="45CA614E" w14:textId="77777777" w:rsidR="0046116F" w:rsidRPr="004918E9" w:rsidRDefault="0046116F" w:rsidP="00107DC7">
      <w:pPr>
        <w:pStyle w:val="ListParagraph"/>
        <w:numPr>
          <w:ilvl w:val="0"/>
          <w:numId w:val="56"/>
        </w:numPr>
        <w:spacing w:before="0" w:after="0"/>
        <w:rPr>
          <w:sz w:val="22"/>
          <w:szCs w:val="22"/>
        </w:rPr>
      </w:pPr>
      <w:r w:rsidRPr="004918E9">
        <w:rPr>
          <w:sz w:val="22"/>
          <w:szCs w:val="22"/>
        </w:rPr>
        <w:t>Given the current very tight vacancy rate and rapid increases in rents, it is highly likely there has been an increase in both the number and proportion of very low and low income rental households experiencing housing stress.</w:t>
      </w:r>
    </w:p>
    <w:p w14:paraId="0003D138" w14:textId="77777777" w:rsidR="0046116F" w:rsidRDefault="0046116F" w:rsidP="00D4119A">
      <w:pPr>
        <w:spacing w:before="0" w:after="0"/>
        <w:rPr>
          <w:sz w:val="22"/>
          <w:szCs w:val="22"/>
        </w:rPr>
      </w:pPr>
    </w:p>
    <w:p w14:paraId="2D7E09B1" w14:textId="77777777" w:rsidR="00B63D83" w:rsidRPr="00120052" w:rsidRDefault="00B63D83" w:rsidP="00D4119A">
      <w:pPr>
        <w:spacing w:before="0" w:after="0"/>
        <w:rPr>
          <w:sz w:val="22"/>
          <w:szCs w:val="22"/>
        </w:rPr>
      </w:pPr>
    </w:p>
    <w:p w14:paraId="5746958E" w14:textId="77777777" w:rsidR="00E1656E" w:rsidRPr="00E7028F" w:rsidRDefault="00E1656E" w:rsidP="00E1656E">
      <w:pPr>
        <w:jc w:val="both"/>
        <w:rPr>
          <w:b/>
          <w:color w:val="008000"/>
          <w:sz w:val="32"/>
        </w:rPr>
      </w:pPr>
      <w:r w:rsidRPr="00E7028F">
        <w:rPr>
          <w:b/>
          <w:color w:val="008000"/>
          <w:sz w:val="32"/>
        </w:rPr>
        <w:t>Loss of Affordable Housing Stock</w:t>
      </w:r>
    </w:p>
    <w:p w14:paraId="49E45079" w14:textId="77777777" w:rsidR="00E1656E" w:rsidRPr="00EC3534" w:rsidRDefault="00E54E09" w:rsidP="00E1656E">
      <w:pPr>
        <w:numPr>
          <w:ilvl w:val="0"/>
          <w:numId w:val="21"/>
        </w:numPr>
        <w:spacing w:before="0" w:after="0"/>
        <w:jc w:val="both"/>
        <w:rPr>
          <w:sz w:val="22"/>
          <w:szCs w:val="22"/>
        </w:rPr>
      </w:pPr>
      <w:r w:rsidRPr="00DD561F">
        <w:rPr>
          <w:sz w:val="22"/>
          <w:szCs w:val="22"/>
        </w:rPr>
        <w:t>DCJ</w:t>
      </w:r>
      <w:r w:rsidR="00E1656E" w:rsidRPr="00DD561F">
        <w:rPr>
          <w:sz w:val="22"/>
          <w:szCs w:val="22"/>
        </w:rPr>
        <w:t xml:space="preserve"> has</w:t>
      </w:r>
      <w:r w:rsidR="00E1656E" w:rsidRPr="00EC3534">
        <w:rPr>
          <w:sz w:val="22"/>
          <w:szCs w:val="22"/>
        </w:rPr>
        <w:t xml:space="preserve"> calculated the number of new bonds lodged with the Rental Bond Board that were affordable to low income earners in </w:t>
      </w:r>
      <w:r w:rsidR="006D1891">
        <w:rPr>
          <w:sz w:val="22"/>
          <w:szCs w:val="22"/>
        </w:rPr>
        <w:t xml:space="preserve">the Central Coast </w:t>
      </w:r>
      <w:r w:rsidR="00E1656E" w:rsidRPr="00EC3534">
        <w:rPr>
          <w:sz w:val="22"/>
          <w:szCs w:val="22"/>
        </w:rPr>
        <w:t>in 2017</w:t>
      </w:r>
      <w:r w:rsidR="00F95AF5">
        <w:rPr>
          <w:sz w:val="22"/>
          <w:szCs w:val="22"/>
        </w:rPr>
        <w:t>,</w:t>
      </w:r>
      <w:r w:rsidR="00E20EBA">
        <w:rPr>
          <w:sz w:val="22"/>
          <w:szCs w:val="22"/>
        </w:rPr>
        <w:t xml:space="preserve"> </w:t>
      </w:r>
      <w:r w:rsidR="00F95AF5">
        <w:rPr>
          <w:sz w:val="22"/>
          <w:szCs w:val="22"/>
        </w:rPr>
        <w:t xml:space="preserve">2021, </w:t>
      </w:r>
      <w:r w:rsidR="00D11AD6">
        <w:rPr>
          <w:sz w:val="22"/>
          <w:szCs w:val="22"/>
        </w:rPr>
        <w:t>and 2022</w:t>
      </w:r>
      <w:r w:rsidR="00E1656E" w:rsidRPr="00EC3534">
        <w:rPr>
          <w:sz w:val="22"/>
          <w:szCs w:val="22"/>
        </w:rPr>
        <w:t xml:space="preserve">.  </w:t>
      </w:r>
      <w:r w:rsidR="006D1891">
        <w:rPr>
          <w:sz w:val="22"/>
          <w:szCs w:val="22"/>
        </w:rPr>
        <w:t xml:space="preserve">The Central Coast </w:t>
      </w:r>
      <w:r w:rsidR="00E1656E" w:rsidRPr="00EC3534">
        <w:rPr>
          <w:sz w:val="22"/>
          <w:szCs w:val="22"/>
        </w:rPr>
        <w:t>experienced a significant decline in affordable bonds lodged, and consequently loss of affordable housing between 20</w:t>
      </w:r>
      <w:r w:rsidR="004E0D34">
        <w:rPr>
          <w:sz w:val="22"/>
          <w:szCs w:val="22"/>
        </w:rPr>
        <w:t>17</w:t>
      </w:r>
      <w:r w:rsidR="00E1656E" w:rsidRPr="00EC3534">
        <w:rPr>
          <w:sz w:val="22"/>
          <w:szCs w:val="22"/>
        </w:rPr>
        <w:t xml:space="preserve"> and 20</w:t>
      </w:r>
      <w:r w:rsidR="00D11AD6">
        <w:rPr>
          <w:sz w:val="22"/>
          <w:szCs w:val="22"/>
        </w:rPr>
        <w:t>22</w:t>
      </w:r>
      <w:r w:rsidR="00E1656E" w:rsidRPr="00EC3534">
        <w:rPr>
          <w:sz w:val="22"/>
          <w:szCs w:val="22"/>
        </w:rPr>
        <w:t xml:space="preserve"> – with </w:t>
      </w:r>
      <w:r w:rsidR="00FF4196">
        <w:rPr>
          <w:sz w:val="22"/>
          <w:szCs w:val="22"/>
        </w:rPr>
        <w:t xml:space="preserve">-489 </w:t>
      </w:r>
      <w:r w:rsidR="00E1656E" w:rsidRPr="00EC3534">
        <w:rPr>
          <w:sz w:val="22"/>
          <w:szCs w:val="22"/>
        </w:rPr>
        <w:t>fewer affordable bonds lodged – representing a los</w:t>
      </w:r>
      <w:r w:rsidR="006D1891">
        <w:rPr>
          <w:sz w:val="22"/>
          <w:szCs w:val="22"/>
        </w:rPr>
        <w:t xml:space="preserve">s of </w:t>
      </w:r>
      <w:r w:rsidR="00FF4196">
        <w:rPr>
          <w:sz w:val="22"/>
          <w:szCs w:val="22"/>
        </w:rPr>
        <w:t>-28</w:t>
      </w:r>
      <w:r w:rsidR="00074515" w:rsidRPr="00A75CE4">
        <w:rPr>
          <w:sz w:val="22"/>
          <w:szCs w:val="22"/>
        </w:rPr>
        <w:t>.5%</w:t>
      </w:r>
      <w:r w:rsidR="00074515">
        <w:rPr>
          <w:sz w:val="22"/>
          <w:szCs w:val="22"/>
        </w:rPr>
        <w:t xml:space="preserve"> </w:t>
      </w:r>
      <w:r w:rsidR="006D1891">
        <w:rPr>
          <w:sz w:val="22"/>
          <w:szCs w:val="22"/>
        </w:rPr>
        <w:t>of affordable stock</w:t>
      </w:r>
      <w:r w:rsidR="001034A8">
        <w:rPr>
          <w:sz w:val="22"/>
          <w:szCs w:val="22"/>
        </w:rPr>
        <w:t xml:space="preserve"> between 2017 and 2022</w:t>
      </w:r>
      <w:r w:rsidR="00E1656E" w:rsidRPr="00EC3534">
        <w:rPr>
          <w:sz w:val="22"/>
          <w:szCs w:val="22"/>
        </w:rPr>
        <w:t xml:space="preserve">.   </w:t>
      </w:r>
      <w:r w:rsidR="006A7B4F">
        <w:rPr>
          <w:sz w:val="22"/>
          <w:szCs w:val="22"/>
        </w:rPr>
        <w:t>Th</w:t>
      </w:r>
      <w:r w:rsidR="006D1891">
        <w:rPr>
          <w:sz w:val="22"/>
          <w:szCs w:val="22"/>
        </w:rPr>
        <w:t>is a</w:t>
      </w:r>
      <w:r w:rsidR="006A7B4F">
        <w:rPr>
          <w:sz w:val="22"/>
          <w:szCs w:val="22"/>
        </w:rPr>
        <w:t xml:space="preserve"> significant loss</w:t>
      </w:r>
      <w:r w:rsidR="006D1891">
        <w:rPr>
          <w:sz w:val="22"/>
          <w:szCs w:val="22"/>
        </w:rPr>
        <w:t>,</w:t>
      </w:r>
      <w:r w:rsidR="006A7B4F">
        <w:rPr>
          <w:sz w:val="22"/>
          <w:szCs w:val="22"/>
        </w:rPr>
        <w:t xml:space="preserve"> particularly given that historically the</w:t>
      </w:r>
      <w:r w:rsidR="006D1891">
        <w:rPr>
          <w:sz w:val="22"/>
          <w:szCs w:val="22"/>
        </w:rPr>
        <w:t xml:space="preserve"> Central Coast has been</w:t>
      </w:r>
      <w:r w:rsidR="006A7B4F">
        <w:rPr>
          <w:sz w:val="22"/>
          <w:szCs w:val="22"/>
        </w:rPr>
        <w:t xml:space="preserve"> more affordable, particularly in comparison with Sydney.</w:t>
      </w:r>
    </w:p>
    <w:p w14:paraId="56F0190F" w14:textId="77777777" w:rsidR="00E1656E" w:rsidRPr="00966F4A" w:rsidRDefault="00E1656E" w:rsidP="00F95AF5">
      <w:pPr>
        <w:numPr>
          <w:ilvl w:val="0"/>
          <w:numId w:val="21"/>
        </w:numPr>
        <w:spacing w:before="0" w:after="0"/>
        <w:jc w:val="both"/>
        <w:rPr>
          <w:b/>
          <w:sz w:val="20"/>
          <w:szCs w:val="20"/>
        </w:rPr>
      </w:pPr>
      <w:r w:rsidRPr="003B6984">
        <w:rPr>
          <w:sz w:val="22"/>
          <w:szCs w:val="22"/>
        </w:rPr>
        <w:t>The table</w:t>
      </w:r>
      <w:r w:rsidR="007A22F7">
        <w:rPr>
          <w:sz w:val="22"/>
          <w:szCs w:val="22"/>
        </w:rPr>
        <w:t xml:space="preserve"> and graph</w:t>
      </w:r>
      <w:r w:rsidRPr="003B6984">
        <w:rPr>
          <w:sz w:val="22"/>
          <w:szCs w:val="22"/>
        </w:rPr>
        <w:t xml:space="preserve"> below show the number of bonds lodged that were affordable to low income households </w:t>
      </w:r>
      <w:r w:rsidR="003B6984" w:rsidRPr="003B6984">
        <w:rPr>
          <w:sz w:val="22"/>
          <w:szCs w:val="22"/>
        </w:rPr>
        <w:t xml:space="preserve">(including very low income households) </w:t>
      </w:r>
      <w:r w:rsidRPr="003B6984">
        <w:rPr>
          <w:sz w:val="22"/>
          <w:szCs w:val="22"/>
        </w:rPr>
        <w:t>in 2017</w:t>
      </w:r>
      <w:r w:rsidR="00D11AD6">
        <w:rPr>
          <w:sz w:val="22"/>
          <w:szCs w:val="22"/>
        </w:rPr>
        <w:t>,</w:t>
      </w:r>
      <w:r w:rsidR="00023CB0">
        <w:rPr>
          <w:sz w:val="22"/>
          <w:szCs w:val="22"/>
        </w:rPr>
        <w:t xml:space="preserve"> </w:t>
      </w:r>
      <w:r w:rsidR="00D11AD6">
        <w:rPr>
          <w:sz w:val="22"/>
          <w:szCs w:val="22"/>
        </w:rPr>
        <w:t>2021 and 2022</w:t>
      </w:r>
      <w:r w:rsidRPr="003B6984">
        <w:rPr>
          <w:sz w:val="22"/>
          <w:szCs w:val="22"/>
        </w:rPr>
        <w:t xml:space="preserve"> in</w:t>
      </w:r>
      <w:r w:rsidR="003B6984" w:rsidRPr="003B6984">
        <w:rPr>
          <w:sz w:val="22"/>
          <w:szCs w:val="22"/>
        </w:rPr>
        <w:t xml:space="preserve"> the Central Coast</w:t>
      </w:r>
      <w:r w:rsidRPr="003B6984">
        <w:rPr>
          <w:sz w:val="22"/>
          <w:szCs w:val="22"/>
        </w:rPr>
        <w:t>.</w:t>
      </w:r>
    </w:p>
    <w:p w14:paraId="53FE2BE4" w14:textId="77777777" w:rsidR="007A22F7" w:rsidRPr="003B6984" w:rsidRDefault="007A22F7" w:rsidP="00966F4A">
      <w:pPr>
        <w:spacing w:before="0" w:after="0"/>
        <w:ind w:left="360"/>
        <w:jc w:val="both"/>
        <w:rPr>
          <w:b/>
          <w:sz w:val="20"/>
          <w:szCs w:val="20"/>
        </w:rPr>
      </w:pPr>
    </w:p>
    <w:p w14:paraId="58E6A2B1" w14:textId="77777777" w:rsidR="009D3454" w:rsidRPr="00DB1DB8" w:rsidRDefault="004E0D34" w:rsidP="00966F4A">
      <w:pPr>
        <w:ind w:left="360"/>
        <w:jc w:val="both"/>
        <w:rPr>
          <w:sz w:val="20"/>
          <w:szCs w:val="20"/>
        </w:rPr>
      </w:pPr>
      <w:r w:rsidRPr="004E0D34">
        <w:rPr>
          <w:noProof/>
        </w:rPr>
        <w:drawing>
          <wp:inline distT="0" distB="0" distL="0" distR="0" wp14:anchorId="4DDFC60E" wp14:editId="1CBDF90E">
            <wp:extent cx="5274310" cy="1288870"/>
            <wp:effectExtent l="0" t="0" r="254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1288870"/>
                    </a:xfrm>
                    <a:prstGeom prst="rect">
                      <a:avLst/>
                    </a:prstGeom>
                    <a:noFill/>
                    <a:ln>
                      <a:noFill/>
                    </a:ln>
                  </pic:spPr>
                </pic:pic>
              </a:graphicData>
            </a:graphic>
          </wp:inline>
        </w:drawing>
      </w:r>
    </w:p>
    <w:p w14:paraId="22FC4A7A" w14:textId="77777777" w:rsidR="00D95E4D" w:rsidRDefault="00D95E4D" w:rsidP="00E1656E">
      <w:pPr>
        <w:pStyle w:val="Heading1"/>
        <w:jc w:val="both"/>
        <w:rPr>
          <w:iCs/>
          <w:noProof/>
          <w:color w:val="008000"/>
          <w:kern w:val="0"/>
          <w:sz w:val="22"/>
          <w:szCs w:val="22"/>
        </w:rPr>
      </w:pPr>
    </w:p>
    <w:p w14:paraId="43C1EC8F" w14:textId="77777777" w:rsidR="00FF4196" w:rsidRPr="00FF4196" w:rsidRDefault="00FF4196" w:rsidP="00FF4196">
      <w:r>
        <w:rPr>
          <w:noProof/>
        </w:rPr>
        <w:drawing>
          <wp:inline distT="0" distB="0" distL="0" distR="0" wp14:anchorId="3F084C20" wp14:editId="3C5D50C0">
            <wp:extent cx="5377180" cy="308483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7180" cy="3084830"/>
                    </a:xfrm>
                    <a:prstGeom prst="rect">
                      <a:avLst/>
                    </a:prstGeom>
                    <a:noFill/>
                  </pic:spPr>
                </pic:pic>
              </a:graphicData>
            </a:graphic>
          </wp:inline>
        </w:drawing>
      </w:r>
    </w:p>
    <w:p w14:paraId="019CF34F" w14:textId="77777777" w:rsidR="00091AA4" w:rsidRDefault="00091AA4" w:rsidP="00966F4A"/>
    <w:p w14:paraId="7D2ECA81" w14:textId="77777777" w:rsidR="00091AA4" w:rsidRPr="00966F4A" w:rsidRDefault="00091AA4" w:rsidP="00966F4A"/>
    <w:p w14:paraId="071BA889" w14:textId="77777777" w:rsidR="00E1656E" w:rsidRPr="00FC4560" w:rsidRDefault="00E1656E" w:rsidP="00E1656E">
      <w:pPr>
        <w:pStyle w:val="Heading1"/>
        <w:jc w:val="both"/>
        <w:rPr>
          <w:b/>
          <w:i/>
          <w:iCs/>
          <w:color w:val="008000"/>
          <w:kern w:val="0"/>
          <w:sz w:val="32"/>
        </w:rPr>
      </w:pPr>
      <w:r w:rsidRPr="00FC4560">
        <w:rPr>
          <w:b/>
          <w:i/>
          <w:iCs/>
          <w:color w:val="008000"/>
          <w:kern w:val="0"/>
          <w:sz w:val="32"/>
        </w:rPr>
        <w:t>Housing Market - Purchase</w:t>
      </w:r>
    </w:p>
    <w:p w14:paraId="4B1D3D8D" w14:textId="77777777" w:rsidR="00E1656E" w:rsidRPr="00670593" w:rsidRDefault="00E1656E" w:rsidP="00E1656E">
      <w:pPr>
        <w:jc w:val="both"/>
        <w:rPr>
          <w:sz w:val="20"/>
          <w:szCs w:val="20"/>
        </w:rPr>
      </w:pPr>
    </w:p>
    <w:p w14:paraId="3BCF2363" w14:textId="77777777" w:rsidR="00E1656E" w:rsidRDefault="00E1656E" w:rsidP="00E1656E">
      <w:pPr>
        <w:jc w:val="both"/>
        <w:rPr>
          <w:sz w:val="20"/>
          <w:szCs w:val="20"/>
        </w:rPr>
      </w:pPr>
      <w:r w:rsidRPr="003C6C13">
        <w:rPr>
          <w:b/>
          <w:color w:val="008000"/>
          <w:sz w:val="32"/>
        </w:rPr>
        <w:t>Sales Price</w:t>
      </w:r>
    </w:p>
    <w:p w14:paraId="148D6CA7" w14:textId="77777777" w:rsidR="00B6620E" w:rsidRDefault="00E1656E" w:rsidP="00E16791">
      <w:pPr>
        <w:pStyle w:val="ListParagraph"/>
        <w:numPr>
          <w:ilvl w:val="0"/>
          <w:numId w:val="57"/>
        </w:numPr>
        <w:spacing w:before="0" w:after="0"/>
        <w:jc w:val="both"/>
        <w:rPr>
          <w:sz w:val="22"/>
          <w:szCs w:val="22"/>
        </w:rPr>
      </w:pPr>
      <w:r w:rsidRPr="00E16791">
        <w:rPr>
          <w:sz w:val="22"/>
          <w:szCs w:val="22"/>
        </w:rPr>
        <w:t xml:space="preserve">In the period </w:t>
      </w:r>
      <w:r w:rsidR="00C548D1" w:rsidRPr="00E16791">
        <w:rPr>
          <w:sz w:val="22"/>
          <w:szCs w:val="22"/>
        </w:rPr>
        <w:t xml:space="preserve">from </w:t>
      </w:r>
      <w:r w:rsidR="00604986" w:rsidRPr="00E16791">
        <w:rPr>
          <w:sz w:val="22"/>
          <w:szCs w:val="22"/>
        </w:rPr>
        <w:t xml:space="preserve">1994 </w:t>
      </w:r>
      <w:r w:rsidR="00C548D1" w:rsidRPr="00E16791">
        <w:rPr>
          <w:sz w:val="22"/>
          <w:szCs w:val="22"/>
        </w:rPr>
        <w:t xml:space="preserve">to </w:t>
      </w:r>
      <w:r w:rsidRPr="00E16791">
        <w:rPr>
          <w:sz w:val="22"/>
          <w:szCs w:val="22"/>
        </w:rPr>
        <w:t>20</w:t>
      </w:r>
      <w:r w:rsidR="00604986" w:rsidRPr="00E16791">
        <w:rPr>
          <w:sz w:val="22"/>
          <w:szCs w:val="22"/>
        </w:rPr>
        <w:t>22</w:t>
      </w:r>
      <w:r w:rsidRPr="00E16791">
        <w:rPr>
          <w:sz w:val="22"/>
          <w:szCs w:val="22"/>
        </w:rPr>
        <w:t xml:space="preserve"> </w:t>
      </w:r>
      <w:r w:rsidR="00486FE9" w:rsidRPr="00E16791">
        <w:rPr>
          <w:sz w:val="22"/>
          <w:szCs w:val="22"/>
        </w:rPr>
        <w:t xml:space="preserve">median </w:t>
      </w:r>
      <w:r w:rsidRPr="00E16791">
        <w:rPr>
          <w:sz w:val="22"/>
          <w:szCs w:val="22"/>
        </w:rPr>
        <w:t xml:space="preserve">house </w:t>
      </w:r>
      <w:r w:rsidR="00C548D1" w:rsidRPr="00E16791">
        <w:rPr>
          <w:sz w:val="22"/>
          <w:szCs w:val="22"/>
        </w:rPr>
        <w:t xml:space="preserve">and strata </w:t>
      </w:r>
      <w:r w:rsidRPr="00E16791">
        <w:rPr>
          <w:sz w:val="22"/>
          <w:szCs w:val="22"/>
        </w:rPr>
        <w:t xml:space="preserve">prices </w:t>
      </w:r>
      <w:r w:rsidR="00C548D1" w:rsidRPr="00E16791">
        <w:rPr>
          <w:sz w:val="22"/>
          <w:szCs w:val="22"/>
        </w:rPr>
        <w:t>rose strongly</w:t>
      </w:r>
      <w:r w:rsidR="00DB1DB8" w:rsidRPr="00E16791">
        <w:rPr>
          <w:sz w:val="22"/>
          <w:szCs w:val="22"/>
        </w:rPr>
        <w:t xml:space="preserve">. </w:t>
      </w:r>
      <w:r w:rsidRPr="00E16791">
        <w:rPr>
          <w:sz w:val="22"/>
          <w:szCs w:val="22"/>
        </w:rPr>
        <w:t xml:space="preserve">The following graphs presenting the long term median sales price trend for houses and for strata properties show that there has been a significant increase in the sales price of both </w:t>
      </w:r>
      <w:r w:rsidR="00670DAD" w:rsidRPr="00E16791">
        <w:rPr>
          <w:sz w:val="22"/>
          <w:szCs w:val="22"/>
        </w:rPr>
        <w:t>over that time frame</w:t>
      </w:r>
      <w:r w:rsidR="008D260B" w:rsidRPr="00E16791">
        <w:rPr>
          <w:sz w:val="22"/>
          <w:szCs w:val="22"/>
        </w:rPr>
        <w:t>.</w:t>
      </w:r>
    </w:p>
    <w:p w14:paraId="108DF46C" w14:textId="77777777" w:rsidR="00E16791" w:rsidRPr="00E16791" w:rsidRDefault="00E16791" w:rsidP="00E16791">
      <w:pPr>
        <w:pStyle w:val="ListParagraph"/>
        <w:numPr>
          <w:ilvl w:val="0"/>
          <w:numId w:val="57"/>
        </w:numPr>
        <w:spacing w:before="0" w:after="0"/>
        <w:jc w:val="both"/>
        <w:rPr>
          <w:sz w:val="22"/>
          <w:szCs w:val="22"/>
        </w:rPr>
      </w:pPr>
      <w:r>
        <w:rPr>
          <w:sz w:val="22"/>
          <w:szCs w:val="22"/>
        </w:rPr>
        <w:t>The two graphs below show the median sales price for houses and for strata homes between 1994 and 2017 for Gosford and Wyong and from 2018 to 2022 for the Central Coast.</w:t>
      </w:r>
    </w:p>
    <w:p w14:paraId="30E69E17" w14:textId="77777777" w:rsidR="00B1473E" w:rsidRDefault="00B1473E" w:rsidP="00DB1DB8">
      <w:pPr>
        <w:spacing w:before="0" w:after="0"/>
        <w:jc w:val="both"/>
        <w:rPr>
          <w:sz w:val="22"/>
          <w:szCs w:val="22"/>
        </w:rPr>
      </w:pPr>
    </w:p>
    <w:p w14:paraId="1A4B9D71" w14:textId="77777777" w:rsidR="00B6620E" w:rsidRDefault="00B6620E" w:rsidP="00DB1DB8">
      <w:pPr>
        <w:spacing w:before="0" w:after="0"/>
        <w:jc w:val="both"/>
        <w:rPr>
          <w:sz w:val="22"/>
          <w:szCs w:val="22"/>
        </w:rPr>
      </w:pPr>
      <w:r>
        <w:rPr>
          <w:noProof/>
        </w:rPr>
        <w:lastRenderedPageBreak/>
        <w:drawing>
          <wp:inline distT="0" distB="0" distL="0" distR="0" wp14:anchorId="62EFA985" wp14:editId="1F473001">
            <wp:extent cx="5274310" cy="2633345"/>
            <wp:effectExtent l="0" t="0" r="2540" b="146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1E3BDA8" w14:textId="77777777" w:rsidR="00B6620E" w:rsidRDefault="00B6620E" w:rsidP="00DB1DB8">
      <w:pPr>
        <w:spacing w:before="0" w:after="0"/>
        <w:jc w:val="both"/>
        <w:rPr>
          <w:sz w:val="22"/>
          <w:szCs w:val="22"/>
        </w:rPr>
      </w:pPr>
    </w:p>
    <w:p w14:paraId="78EFCC6A" w14:textId="77777777" w:rsidR="00B6620E" w:rsidRDefault="00B6620E" w:rsidP="00DB1DB8">
      <w:pPr>
        <w:spacing w:before="0" w:after="0"/>
        <w:jc w:val="both"/>
        <w:rPr>
          <w:sz w:val="22"/>
          <w:szCs w:val="22"/>
        </w:rPr>
      </w:pPr>
      <w:r>
        <w:rPr>
          <w:noProof/>
        </w:rPr>
        <w:drawing>
          <wp:inline distT="0" distB="0" distL="0" distR="0" wp14:anchorId="0909644B" wp14:editId="48594120">
            <wp:extent cx="5274310" cy="2552700"/>
            <wp:effectExtent l="0" t="0" r="254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281FE6A" w14:textId="77777777" w:rsidR="00B6620E" w:rsidRDefault="00B6620E" w:rsidP="00DB1DB8">
      <w:pPr>
        <w:spacing w:before="0" w:after="0"/>
        <w:jc w:val="both"/>
        <w:rPr>
          <w:sz w:val="22"/>
          <w:szCs w:val="22"/>
        </w:rPr>
      </w:pPr>
    </w:p>
    <w:p w14:paraId="7009DE61" w14:textId="77777777" w:rsidR="00214EA2" w:rsidRDefault="00214EA2" w:rsidP="00DB1DB8">
      <w:pPr>
        <w:spacing w:before="0" w:after="0"/>
        <w:jc w:val="both"/>
        <w:rPr>
          <w:sz w:val="22"/>
          <w:szCs w:val="22"/>
        </w:rPr>
      </w:pPr>
    </w:p>
    <w:p w14:paraId="45A52015" w14:textId="77777777" w:rsidR="00214EA2" w:rsidRPr="00DB1DB8" w:rsidRDefault="00A07F13" w:rsidP="00DB1DB8">
      <w:pPr>
        <w:pStyle w:val="ListParagraph"/>
        <w:numPr>
          <w:ilvl w:val="0"/>
          <w:numId w:val="51"/>
        </w:numPr>
        <w:spacing w:before="0" w:after="0"/>
        <w:jc w:val="both"/>
        <w:rPr>
          <w:sz w:val="22"/>
          <w:szCs w:val="22"/>
        </w:rPr>
      </w:pPr>
      <w:r w:rsidRPr="00DB1DB8">
        <w:rPr>
          <w:sz w:val="22"/>
          <w:szCs w:val="22"/>
        </w:rPr>
        <w:t>The median sales price for houses has increased significantly over the ten year period from 2012,</w:t>
      </w:r>
      <w:r w:rsidR="00A34C6A" w:rsidRPr="00DB1DB8">
        <w:rPr>
          <w:sz w:val="22"/>
          <w:szCs w:val="22"/>
        </w:rPr>
        <w:t xml:space="preserve"> from $410,000 in Gosford and $346,</w:t>
      </w:r>
      <w:r w:rsidR="00DB1DB8">
        <w:rPr>
          <w:sz w:val="22"/>
          <w:szCs w:val="22"/>
        </w:rPr>
        <w:t>0</w:t>
      </w:r>
      <w:r w:rsidR="00A34C6A" w:rsidRPr="00DB1DB8">
        <w:rPr>
          <w:sz w:val="22"/>
          <w:szCs w:val="22"/>
        </w:rPr>
        <w:t>00 in Wyong</w:t>
      </w:r>
      <w:r w:rsidRPr="00DB1DB8">
        <w:rPr>
          <w:sz w:val="22"/>
          <w:szCs w:val="22"/>
        </w:rPr>
        <w:t xml:space="preserve"> to stand at </w:t>
      </w:r>
      <w:r w:rsidR="00A34C6A" w:rsidRPr="00DB1DB8">
        <w:rPr>
          <w:sz w:val="22"/>
          <w:szCs w:val="22"/>
        </w:rPr>
        <w:t>$1,071,000 for Central Coast at March 2022.</w:t>
      </w:r>
    </w:p>
    <w:p w14:paraId="6ACC8E62" w14:textId="77777777" w:rsidR="00A34C6A" w:rsidRPr="00DB1DB8" w:rsidRDefault="00A34C6A" w:rsidP="00DB1DB8">
      <w:pPr>
        <w:pStyle w:val="ListParagraph"/>
        <w:numPr>
          <w:ilvl w:val="0"/>
          <w:numId w:val="51"/>
        </w:numPr>
        <w:spacing w:before="0" w:after="0"/>
        <w:jc w:val="both"/>
        <w:rPr>
          <w:sz w:val="22"/>
          <w:szCs w:val="22"/>
        </w:rPr>
      </w:pPr>
      <w:r w:rsidRPr="00E7368F">
        <w:rPr>
          <w:sz w:val="22"/>
          <w:szCs w:val="22"/>
        </w:rPr>
        <w:t>Similarly, the median sales price for strata properties has increased from $178,000 in Gosford and $121,000 in Wyong at 2012 to $70</w:t>
      </w:r>
      <w:r w:rsidRPr="00DB1DB8">
        <w:rPr>
          <w:sz w:val="22"/>
          <w:szCs w:val="22"/>
        </w:rPr>
        <w:t>9,000 in Central Coast in 2022.</w:t>
      </w:r>
    </w:p>
    <w:p w14:paraId="447F2DC1" w14:textId="77777777" w:rsidR="00A34C6A" w:rsidRPr="00DB1DB8" w:rsidRDefault="00A34C6A" w:rsidP="00A34C6A">
      <w:pPr>
        <w:numPr>
          <w:ilvl w:val="0"/>
          <w:numId w:val="51"/>
        </w:numPr>
        <w:spacing w:before="0" w:after="0"/>
        <w:rPr>
          <w:sz w:val="22"/>
          <w:szCs w:val="22"/>
        </w:rPr>
      </w:pPr>
      <w:r w:rsidRPr="00DB1DB8">
        <w:rPr>
          <w:sz w:val="22"/>
          <w:szCs w:val="22"/>
        </w:rPr>
        <w:t>The table below shows changes in the median sales price of both houses and flats over the last ten years in the Central Coast.</w:t>
      </w:r>
    </w:p>
    <w:p w14:paraId="5E0B0B2B" w14:textId="77777777" w:rsidR="00A07F13" w:rsidRPr="00A34C6A" w:rsidRDefault="00A07F13" w:rsidP="00DB1DB8">
      <w:pPr>
        <w:pStyle w:val="ListParagraph"/>
        <w:spacing w:before="0" w:after="0"/>
        <w:ind w:left="360"/>
        <w:jc w:val="both"/>
        <w:rPr>
          <w:sz w:val="22"/>
          <w:szCs w:val="22"/>
        </w:rPr>
      </w:pPr>
    </w:p>
    <w:p w14:paraId="68B86A74" w14:textId="77777777" w:rsidR="00A07F13" w:rsidRDefault="00D65089" w:rsidP="00DB1DB8">
      <w:pPr>
        <w:spacing w:before="0" w:after="0"/>
        <w:jc w:val="both"/>
        <w:rPr>
          <w:sz w:val="22"/>
          <w:szCs w:val="22"/>
        </w:rPr>
      </w:pPr>
      <w:r w:rsidRPr="00D65089">
        <w:rPr>
          <w:noProof/>
        </w:rPr>
        <w:drawing>
          <wp:inline distT="0" distB="0" distL="0" distR="0" wp14:anchorId="23244517" wp14:editId="417B3C60">
            <wp:extent cx="5274310" cy="904423"/>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4310" cy="904423"/>
                    </a:xfrm>
                    <a:prstGeom prst="rect">
                      <a:avLst/>
                    </a:prstGeom>
                    <a:noFill/>
                    <a:ln>
                      <a:noFill/>
                    </a:ln>
                  </pic:spPr>
                </pic:pic>
              </a:graphicData>
            </a:graphic>
          </wp:inline>
        </w:drawing>
      </w:r>
    </w:p>
    <w:p w14:paraId="05D8CB52" w14:textId="77777777" w:rsidR="00A07F13" w:rsidRDefault="00A07F13" w:rsidP="00DB1DB8">
      <w:pPr>
        <w:spacing w:before="0" w:after="0"/>
        <w:jc w:val="both"/>
        <w:rPr>
          <w:sz w:val="22"/>
          <w:szCs w:val="22"/>
        </w:rPr>
      </w:pPr>
    </w:p>
    <w:p w14:paraId="68FCC0D5" w14:textId="77777777" w:rsidR="003475A3" w:rsidRPr="00E7368F" w:rsidRDefault="00A34C6A" w:rsidP="00A34C6A">
      <w:pPr>
        <w:pStyle w:val="ListParagraph"/>
        <w:numPr>
          <w:ilvl w:val="0"/>
          <w:numId w:val="52"/>
        </w:numPr>
        <w:rPr>
          <w:sz w:val="20"/>
          <w:szCs w:val="20"/>
        </w:rPr>
      </w:pPr>
      <w:r w:rsidRPr="00E7368F">
        <w:rPr>
          <w:sz w:val="22"/>
          <w:szCs w:val="22"/>
        </w:rPr>
        <w:lastRenderedPageBreak/>
        <w:t>However, between 2019 and 2022 there were more complex changes in the market, as the table below demonstrate</w:t>
      </w:r>
      <w:r w:rsidR="004E3623">
        <w:rPr>
          <w:sz w:val="22"/>
          <w:szCs w:val="22"/>
        </w:rPr>
        <w:t>s</w:t>
      </w:r>
      <w:r w:rsidRPr="00E7368F">
        <w:rPr>
          <w:sz w:val="22"/>
          <w:szCs w:val="22"/>
        </w:rPr>
        <w:t xml:space="preserve">.  Between March 2019 and 2020 median house and strata prices experienced relatively low growth </w:t>
      </w:r>
      <w:r w:rsidR="003475A3" w:rsidRPr="00E7368F">
        <w:rPr>
          <w:sz w:val="22"/>
          <w:szCs w:val="22"/>
        </w:rPr>
        <w:t xml:space="preserve">in the Central </w:t>
      </w:r>
      <w:r w:rsidR="0012612C">
        <w:rPr>
          <w:sz w:val="22"/>
          <w:szCs w:val="22"/>
        </w:rPr>
        <w:t>C</w:t>
      </w:r>
      <w:r w:rsidR="003475A3" w:rsidRPr="00E7368F">
        <w:rPr>
          <w:sz w:val="22"/>
          <w:szCs w:val="22"/>
        </w:rPr>
        <w:t>oast</w:t>
      </w:r>
      <w:r w:rsidRPr="00E7368F">
        <w:rPr>
          <w:sz w:val="22"/>
          <w:szCs w:val="22"/>
        </w:rPr>
        <w:t xml:space="preserve">.  </w:t>
      </w:r>
      <w:r w:rsidR="003475A3" w:rsidRPr="00E7368F">
        <w:rPr>
          <w:sz w:val="22"/>
          <w:szCs w:val="22"/>
        </w:rPr>
        <w:t>The median sales price for houses increased by 7.4% and for strata 4.4% in that 12 month period.</w:t>
      </w:r>
    </w:p>
    <w:p w14:paraId="437EA67C" w14:textId="77777777" w:rsidR="003475A3" w:rsidRPr="00E7368F" w:rsidRDefault="00A34C6A" w:rsidP="00A34C6A">
      <w:pPr>
        <w:pStyle w:val="ListParagraph"/>
        <w:numPr>
          <w:ilvl w:val="0"/>
          <w:numId w:val="52"/>
        </w:numPr>
        <w:rPr>
          <w:sz w:val="20"/>
          <w:szCs w:val="20"/>
        </w:rPr>
      </w:pPr>
      <w:r w:rsidRPr="00E7368F">
        <w:rPr>
          <w:sz w:val="22"/>
          <w:szCs w:val="22"/>
        </w:rPr>
        <w:t xml:space="preserve">Between March 2021 and March 2022 there was strong growth in median house and strata prices across the </w:t>
      </w:r>
      <w:r w:rsidR="003475A3" w:rsidRPr="00E7368F">
        <w:rPr>
          <w:sz w:val="22"/>
          <w:szCs w:val="22"/>
        </w:rPr>
        <w:t>Central Coast</w:t>
      </w:r>
      <w:r w:rsidRPr="00E7368F">
        <w:rPr>
          <w:sz w:val="22"/>
          <w:szCs w:val="22"/>
        </w:rPr>
        <w:t xml:space="preserve">. </w:t>
      </w:r>
      <w:r w:rsidR="003475A3" w:rsidRPr="00E7368F">
        <w:rPr>
          <w:sz w:val="22"/>
          <w:szCs w:val="22"/>
        </w:rPr>
        <w:t xml:space="preserve"> The median sales price for houses increased by 25.</w:t>
      </w:r>
      <w:r w:rsidR="00491E41">
        <w:rPr>
          <w:sz w:val="22"/>
          <w:szCs w:val="22"/>
        </w:rPr>
        <w:t>8</w:t>
      </w:r>
      <w:r w:rsidR="003475A3" w:rsidRPr="00E7368F">
        <w:rPr>
          <w:sz w:val="22"/>
          <w:szCs w:val="22"/>
        </w:rPr>
        <w:t>% and for strata properties by 22.0% in that 12 month period.</w:t>
      </w:r>
    </w:p>
    <w:p w14:paraId="6CC5CD98" w14:textId="77777777" w:rsidR="00A34C6A" w:rsidRPr="00E7368F" w:rsidRDefault="00A34C6A" w:rsidP="00A34C6A">
      <w:pPr>
        <w:pStyle w:val="ListParagraph"/>
        <w:numPr>
          <w:ilvl w:val="0"/>
          <w:numId w:val="52"/>
        </w:numPr>
        <w:rPr>
          <w:sz w:val="20"/>
          <w:szCs w:val="20"/>
        </w:rPr>
      </w:pPr>
      <w:r w:rsidRPr="00E7368F">
        <w:rPr>
          <w:sz w:val="22"/>
          <w:szCs w:val="22"/>
        </w:rPr>
        <w:t>Clearly Covid also had an impact on sales prices in the region.</w:t>
      </w:r>
    </w:p>
    <w:p w14:paraId="7B6D254B" w14:textId="77777777" w:rsidR="004E3623" w:rsidRDefault="004E3623" w:rsidP="00E1656E">
      <w:pPr>
        <w:jc w:val="both"/>
        <w:rPr>
          <w:b/>
          <w:color w:val="008000"/>
          <w:sz w:val="32"/>
        </w:rPr>
      </w:pPr>
      <w:r w:rsidRPr="004E3623">
        <w:rPr>
          <w:noProof/>
        </w:rPr>
        <w:drawing>
          <wp:inline distT="0" distB="0" distL="0" distR="0" wp14:anchorId="2FC8117B" wp14:editId="29537706">
            <wp:extent cx="5274310" cy="725330"/>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4310" cy="725330"/>
                    </a:xfrm>
                    <a:prstGeom prst="rect">
                      <a:avLst/>
                    </a:prstGeom>
                    <a:noFill/>
                    <a:ln>
                      <a:noFill/>
                    </a:ln>
                  </pic:spPr>
                </pic:pic>
              </a:graphicData>
            </a:graphic>
          </wp:inline>
        </w:drawing>
      </w:r>
    </w:p>
    <w:p w14:paraId="253CAFCD" w14:textId="77777777" w:rsidR="004E3623" w:rsidRDefault="004E3623" w:rsidP="00E1656E">
      <w:pPr>
        <w:jc w:val="both"/>
        <w:rPr>
          <w:b/>
          <w:color w:val="008000"/>
          <w:sz w:val="32"/>
        </w:rPr>
      </w:pPr>
    </w:p>
    <w:p w14:paraId="24310133" w14:textId="77777777" w:rsidR="00E1656E" w:rsidRPr="00E1068C" w:rsidRDefault="00E1656E" w:rsidP="00E1656E">
      <w:pPr>
        <w:jc w:val="both"/>
        <w:rPr>
          <w:b/>
          <w:color w:val="008000"/>
          <w:sz w:val="32"/>
        </w:rPr>
      </w:pPr>
      <w:r w:rsidRPr="00E1068C">
        <w:rPr>
          <w:b/>
          <w:color w:val="008000"/>
          <w:sz w:val="32"/>
        </w:rPr>
        <w:t>Purchase Affordability</w:t>
      </w:r>
    </w:p>
    <w:p w14:paraId="0707BE13" w14:textId="77777777" w:rsidR="00905656" w:rsidRPr="00A342AC" w:rsidRDefault="00905656" w:rsidP="00905656">
      <w:pPr>
        <w:numPr>
          <w:ilvl w:val="0"/>
          <w:numId w:val="22"/>
        </w:numPr>
        <w:spacing w:before="0" w:after="0"/>
        <w:jc w:val="both"/>
        <w:rPr>
          <w:sz w:val="22"/>
          <w:szCs w:val="22"/>
        </w:rPr>
      </w:pPr>
      <w:r w:rsidRPr="00A342AC">
        <w:rPr>
          <w:sz w:val="22"/>
          <w:szCs w:val="22"/>
        </w:rPr>
        <w:t xml:space="preserve">Purchase affordability for very low income earners has varied over the period from 2001 to 2021 and in the Rest of </w:t>
      </w:r>
      <w:r w:rsidR="002A22CC" w:rsidRPr="00A342AC">
        <w:rPr>
          <w:sz w:val="22"/>
          <w:szCs w:val="22"/>
        </w:rPr>
        <w:t>NSW,</w:t>
      </w:r>
      <w:r w:rsidRPr="00A342AC">
        <w:rPr>
          <w:sz w:val="22"/>
          <w:szCs w:val="22"/>
        </w:rPr>
        <w:t xml:space="preserve"> the proportion of sales affordable to purchase by very low income households is slightly higher in 2021 than in 2001.</w:t>
      </w:r>
    </w:p>
    <w:p w14:paraId="4F138963" w14:textId="77777777" w:rsidR="00905656" w:rsidRDefault="00905656" w:rsidP="00E1656E">
      <w:pPr>
        <w:numPr>
          <w:ilvl w:val="0"/>
          <w:numId w:val="22"/>
        </w:numPr>
        <w:spacing w:before="0" w:after="0"/>
        <w:jc w:val="both"/>
        <w:rPr>
          <w:sz w:val="22"/>
          <w:szCs w:val="22"/>
        </w:rPr>
      </w:pPr>
      <w:r>
        <w:rPr>
          <w:sz w:val="22"/>
          <w:szCs w:val="22"/>
        </w:rPr>
        <w:t xml:space="preserve">Due to Council amalgamations, data is only available for the Central Coast from 2017 onwards.  As the graph below demonstrates, purchase affordability for very low income households has been very tight </w:t>
      </w:r>
      <w:r w:rsidR="0014184B">
        <w:rPr>
          <w:sz w:val="22"/>
          <w:szCs w:val="22"/>
        </w:rPr>
        <w:t>over the whole period from 2017 to 2021 and is currently on 0.0%.  This is equal to the Greater Sydney average of 0.0% and is significantly lower than the Rest of NSW average of 7.5%.</w:t>
      </w:r>
    </w:p>
    <w:p w14:paraId="3B8A746E" w14:textId="77777777" w:rsidR="001069E6" w:rsidRPr="00A75CE4" w:rsidRDefault="00A75CE4" w:rsidP="00E1656E">
      <w:pPr>
        <w:numPr>
          <w:ilvl w:val="0"/>
          <w:numId w:val="22"/>
        </w:numPr>
        <w:spacing w:before="0" w:after="0"/>
        <w:jc w:val="both"/>
        <w:rPr>
          <w:sz w:val="22"/>
          <w:szCs w:val="22"/>
        </w:rPr>
      </w:pPr>
      <w:r w:rsidRPr="00A75CE4">
        <w:rPr>
          <w:sz w:val="22"/>
          <w:szCs w:val="22"/>
        </w:rPr>
        <w:t>The s</w:t>
      </w:r>
      <w:r w:rsidR="0014184B" w:rsidRPr="00A75CE4">
        <w:rPr>
          <w:sz w:val="22"/>
          <w:szCs w:val="22"/>
        </w:rPr>
        <w:t>ubsequent increases in interest rates would have exacerbated the issue of affordability</w:t>
      </w:r>
      <w:r w:rsidRPr="00A75CE4">
        <w:rPr>
          <w:sz w:val="22"/>
          <w:szCs w:val="22"/>
        </w:rPr>
        <w:t xml:space="preserve"> on the Central Coast. </w:t>
      </w:r>
      <w:r w:rsidR="00984B52" w:rsidRPr="00A75CE4">
        <w:rPr>
          <w:sz w:val="22"/>
          <w:szCs w:val="22"/>
        </w:rPr>
        <w:t xml:space="preserve">  </w:t>
      </w:r>
    </w:p>
    <w:p w14:paraId="49A17527" w14:textId="77777777" w:rsidR="00E1656E" w:rsidRDefault="00E1656E" w:rsidP="00E1656E">
      <w:pPr>
        <w:numPr>
          <w:ilvl w:val="0"/>
          <w:numId w:val="22"/>
        </w:numPr>
        <w:spacing w:before="0" w:after="0"/>
        <w:jc w:val="both"/>
        <w:rPr>
          <w:sz w:val="22"/>
          <w:szCs w:val="22"/>
        </w:rPr>
      </w:pPr>
      <w:r w:rsidRPr="00EC3534">
        <w:rPr>
          <w:sz w:val="22"/>
          <w:szCs w:val="22"/>
        </w:rPr>
        <w:t>Th</w:t>
      </w:r>
      <w:r w:rsidR="001069E6">
        <w:rPr>
          <w:sz w:val="22"/>
          <w:szCs w:val="22"/>
        </w:rPr>
        <w:t>e</w:t>
      </w:r>
      <w:r w:rsidRPr="00EC3534">
        <w:rPr>
          <w:sz w:val="22"/>
          <w:szCs w:val="22"/>
        </w:rPr>
        <w:t xml:space="preserve"> graph </w:t>
      </w:r>
      <w:r w:rsidR="001069E6" w:rsidRPr="00A75CE4">
        <w:rPr>
          <w:sz w:val="22"/>
          <w:szCs w:val="22"/>
        </w:rPr>
        <w:t>and table below</w:t>
      </w:r>
      <w:r w:rsidR="001069E6">
        <w:rPr>
          <w:sz w:val="22"/>
          <w:szCs w:val="22"/>
        </w:rPr>
        <w:t xml:space="preserve"> </w:t>
      </w:r>
      <w:r w:rsidRPr="00EC3534">
        <w:rPr>
          <w:sz w:val="22"/>
          <w:szCs w:val="22"/>
        </w:rPr>
        <w:t xml:space="preserve">show purchase affordability for very low income households in </w:t>
      </w:r>
      <w:r w:rsidR="00D476AE">
        <w:rPr>
          <w:sz w:val="22"/>
          <w:szCs w:val="22"/>
        </w:rPr>
        <w:t xml:space="preserve">the Central Coast </w:t>
      </w:r>
      <w:r w:rsidR="00926984">
        <w:rPr>
          <w:sz w:val="22"/>
          <w:szCs w:val="22"/>
        </w:rPr>
        <w:t xml:space="preserve">from 2017 to 2021 </w:t>
      </w:r>
      <w:r w:rsidRPr="00EC3534">
        <w:rPr>
          <w:sz w:val="22"/>
          <w:szCs w:val="22"/>
        </w:rPr>
        <w:t xml:space="preserve">and </w:t>
      </w:r>
      <w:r w:rsidR="00926984">
        <w:rPr>
          <w:sz w:val="22"/>
          <w:szCs w:val="22"/>
        </w:rPr>
        <w:t xml:space="preserve">for Greater Sydney, </w:t>
      </w:r>
      <w:r w:rsidRPr="00EC3534">
        <w:rPr>
          <w:sz w:val="22"/>
          <w:szCs w:val="22"/>
        </w:rPr>
        <w:t xml:space="preserve">the Rest of NSW </w:t>
      </w:r>
      <w:r w:rsidR="00926984">
        <w:rPr>
          <w:sz w:val="22"/>
          <w:szCs w:val="22"/>
        </w:rPr>
        <w:t xml:space="preserve">and NSW </w:t>
      </w:r>
      <w:r w:rsidRPr="00EC3534">
        <w:rPr>
          <w:sz w:val="22"/>
          <w:szCs w:val="22"/>
        </w:rPr>
        <w:t>between 20</w:t>
      </w:r>
      <w:r w:rsidR="00D476AE">
        <w:rPr>
          <w:sz w:val="22"/>
          <w:szCs w:val="22"/>
        </w:rPr>
        <w:t>0</w:t>
      </w:r>
      <w:r w:rsidRPr="00EC3534">
        <w:rPr>
          <w:sz w:val="22"/>
          <w:szCs w:val="22"/>
        </w:rPr>
        <w:t>1 and 20</w:t>
      </w:r>
      <w:r w:rsidR="007B1DCC">
        <w:rPr>
          <w:sz w:val="22"/>
          <w:szCs w:val="22"/>
        </w:rPr>
        <w:t>21</w:t>
      </w:r>
      <w:r w:rsidRPr="00EC3534">
        <w:rPr>
          <w:sz w:val="22"/>
          <w:szCs w:val="22"/>
        </w:rPr>
        <w:t>.</w:t>
      </w:r>
    </w:p>
    <w:p w14:paraId="52184729" w14:textId="77777777" w:rsidR="001F0A79" w:rsidRPr="00EC3534" w:rsidRDefault="001F0A79" w:rsidP="00966F4A">
      <w:pPr>
        <w:spacing w:before="0" w:after="0"/>
        <w:jc w:val="both"/>
        <w:rPr>
          <w:sz w:val="22"/>
          <w:szCs w:val="22"/>
        </w:rPr>
      </w:pPr>
    </w:p>
    <w:p w14:paraId="086EE29D" w14:textId="77777777" w:rsidR="00E1656E" w:rsidRDefault="007B1DCC" w:rsidP="00E1656E">
      <w:pPr>
        <w:spacing w:after="0"/>
        <w:jc w:val="both"/>
        <w:rPr>
          <w:sz w:val="22"/>
          <w:szCs w:val="22"/>
        </w:rPr>
      </w:pPr>
      <w:r>
        <w:rPr>
          <w:noProof/>
        </w:rPr>
        <w:lastRenderedPageBreak/>
        <w:drawing>
          <wp:inline distT="0" distB="0" distL="0" distR="0" wp14:anchorId="0209E4C5" wp14:editId="509A06E6">
            <wp:extent cx="5734050" cy="310515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0F85809" w14:textId="77777777" w:rsidR="007B1DCC" w:rsidRDefault="007B1DCC" w:rsidP="00E1656E">
      <w:pPr>
        <w:spacing w:after="0"/>
        <w:jc w:val="both"/>
        <w:rPr>
          <w:sz w:val="22"/>
          <w:szCs w:val="22"/>
        </w:rPr>
      </w:pPr>
    </w:p>
    <w:p w14:paraId="7256112E" w14:textId="77777777" w:rsidR="001069E6" w:rsidRDefault="001069E6" w:rsidP="00E1656E">
      <w:pPr>
        <w:spacing w:after="0"/>
        <w:jc w:val="both"/>
        <w:rPr>
          <w:sz w:val="22"/>
          <w:szCs w:val="22"/>
        </w:rPr>
      </w:pPr>
      <w:r w:rsidRPr="00A75CE4">
        <w:rPr>
          <w:sz w:val="22"/>
          <w:szCs w:val="22"/>
        </w:rPr>
        <w:t>Affordable purchase for very low income households</w:t>
      </w:r>
    </w:p>
    <w:p w14:paraId="6ADE0F97" w14:textId="77777777" w:rsidR="00C83B37" w:rsidRDefault="00C83B37" w:rsidP="00E1656E">
      <w:pPr>
        <w:spacing w:after="0"/>
        <w:jc w:val="both"/>
        <w:rPr>
          <w:sz w:val="22"/>
          <w:szCs w:val="22"/>
        </w:rPr>
      </w:pPr>
      <w:r w:rsidRPr="00C83B37">
        <w:rPr>
          <w:noProof/>
        </w:rPr>
        <w:drawing>
          <wp:inline distT="0" distB="0" distL="0" distR="0" wp14:anchorId="40077B46" wp14:editId="7A11157A">
            <wp:extent cx="6091274" cy="1209675"/>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7904" cy="1210992"/>
                    </a:xfrm>
                    <a:prstGeom prst="rect">
                      <a:avLst/>
                    </a:prstGeom>
                    <a:noFill/>
                    <a:ln>
                      <a:noFill/>
                    </a:ln>
                  </pic:spPr>
                </pic:pic>
              </a:graphicData>
            </a:graphic>
          </wp:inline>
        </w:drawing>
      </w:r>
    </w:p>
    <w:p w14:paraId="6408F3B0" w14:textId="77777777" w:rsidR="001775D4" w:rsidRDefault="001775D4" w:rsidP="00E1656E">
      <w:pPr>
        <w:spacing w:after="0"/>
        <w:jc w:val="both"/>
        <w:rPr>
          <w:sz w:val="22"/>
          <w:szCs w:val="22"/>
        </w:rPr>
      </w:pPr>
    </w:p>
    <w:p w14:paraId="46798D11" w14:textId="77777777" w:rsidR="00E1656E" w:rsidRPr="00EC3534" w:rsidRDefault="00A30C29" w:rsidP="00E1656E">
      <w:pPr>
        <w:numPr>
          <w:ilvl w:val="0"/>
          <w:numId w:val="23"/>
        </w:numPr>
        <w:spacing w:before="0" w:after="0"/>
        <w:jc w:val="both"/>
        <w:rPr>
          <w:b/>
          <w:sz w:val="22"/>
          <w:szCs w:val="22"/>
        </w:rPr>
      </w:pPr>
      <w:r>
        <w:rPr>
          <w:sz w:val="22"/>
          <w:szCs w:val="22"/>
        </w:rPr>
        <w:t>At June 20</w:t>
      </w:r>
      <w:r w:rsidR="004B695E">
        <w:rPr>
          <w:sz w:val="22"/>
          <w:szCs w:val="22"/>
        </w:rPr>
        <w:t>21</w:t>
      </w:r>
      <w:r>
        <w:rPr>
          <w:sz w:val="22"/>
          <w:szCs w:val="22"/>
        </w:rPr>
        <w:t xml:space="preserve">, only </w:t>
      </w:r>
      <w:r w:rsidR="004B0D28">
        <w:rPr>
          <w:sz w:val="22"/>
          <w:szCs w:val="22"/>
        </w:rPr>
        <w:t>2.3</w:t>
      </w:r>
      <w:r>
        <w:rPr>
          <w:sz w:val="22"/>
          <w:szCs w:val="22"/>
        </w:rPr>
        <w:t>% of stock was affordable for purchase by low income households</w:t>
      </w:r>
      <w:r w:rsidR="004B695E">
        <w:rPr>
          <w:sz w:val="22"/>
          <w:szCs w:val="22"/>
        </w:rPr>
        <w:t xml:space="preserve"> for the </w:t>
      </w:r>
      <w:r w:rsidR="004B0D28">
        <w:rPr>
          <w:sz w:val="22"/>
          <w:szCs w:val="22"/>
        </w:rPr>
        <w:t>Central Coast and Greater Sydney</w:t>
      </w:r>
      <w:r>
        <w:rPr>
          <w:sz w:val="22"/>
          <w:szCs w:val="22"/>
        </w:rPr>
        <w:t>, well below the average of 2</w:t>
      </w:r>
      <w:r w:rsidR="004B0D28">
        <w:rPr>
          <w:sz w:val="22"/>
          <w:szCs w:val="22"/>
        </w:rPr>
        <w:t>3</w:t>
      </w:r>
      <w:r>
        <w:rPr>
          <w:sz w:val="22"/>
          <w:szCs w:val="22"/>
        </w:rPr>
        <w:t>.</w:t>
      </w:r>
      <w:r w:rsidR="004B0D28">
        <w:rPr>
          <w:sz w:val="22"/>
          <w:szCs w:val="22"/>
        </w:rPr>
        <w:t>8</w:t>
      </w:r>
      <w:r>
        <w:rPr>
          <w:sz w:val="22"/>
          <w:szCs w:val="22"/>
        </w:rPr>
        <w:t xml:space="preserve">% in the Rest of NSW.  </w:t>
      </w:r>
    </w:p>
    <w:p w14:paraId="40258EC1" w14:textId="77777777" w:rsidR="00E1656E" w:rsidRPr="00EC3534" w:rsidRDefault="00E1656E" w:rsidP="00E1656E">
      <w:pPr>
        <w:numPr>
          <w:ilvl w:val="0"/>
          <w:numId w:val="23"/>
        </w:numPr>
        <w:spacing w:before="0" w:after="0"/>
        <w:jc w:val="both"/>
        <w:rPr>
          <w:b/>
          <w:sz w:val="22"/>
          <w:szCs w:val="22"/>
        </w:rPr>
      </w:pPr>
      <w:r w:rsidRPr="00EC3534">
        <w:rPr>
          <w:sz w:val="22"/>
          <w:szCs w:val="22"/>
        </w:rPr>
        <w:t xml:space="preserve">The graph </w:t>
      </w:r>
      <w:r w:rsidR="001069E6" w:rsidRPr="002F65C1">
        <w:rPr>
          <w:sz w:val="22"/>
          <w:szCs w:val="22"/>
        </w:rPr>
        <w:t>and table</w:t>
      </w:r>
      <w:r w:rsidR="001069E6">
        <w:rPr>
          <w:sz w:val="22"/>
          <w:szCs w:val="22"/>
        </w:rPr>
        <w:t xml:space="preserve"> </w:t>
      </w:r>
      <w:r w:rsidRPr="00EC3534">
        <w:rPr>
          <w:sz w:val="22"/>
          <w:szCs w:val="22"/>
        </w:rPr>
        <w:t>below shows the change in purchase affordability for</w:t>
      </w:r>
      <w:r w:rsidR="002F65C1">
        <w:rPr>
          <w:sz w:val="22"/>
          <w:szCs w:val="22"/>
        </w:rPr>
        <w:t xml:space="preserve"> </w:t>
      </w:r>
      <w:r w:rsidRPr="00EC3534">
        <w:rPr>
          <w:sz w:val="22"/>
          <w:szCs w:val="22"/>
        </w:rPr>
        <w:t xml:space="preserve">low income households in the </w:t>
      </w:r>
      <w:r w:rsidR="00A30C29">
        <w:rPr>
          <w:sz w:val="22"/>
          <w:szCs w:val="22"/>
        </w:rPr>
        <w:t>Central Coast</w:t>
      </w:r>
      <w:r w:rsidR="001775D4">
        <w:rPr>
          <w:sz w:val="22"/>
          <w:szCs w:val="22"/>
        </w:rPr>
        <w:t xml:space="preserve"> from 2017 to 2021</w:t>
      </w:r>
      <w:r w:rsidR="00A65755">
        <w:rPr>
          <w:sz w:val="22"/>
          <w:szCs w:val="22"/>
        </w:rPr>
        <w:t xml:space="preserve">, compared to </w:t>
      </w:r>
      <w:r w:rsidR="001775D4">
        <w:rPr>
          <w:sz w:val="22"/>
          <w:szCs w:val="22"/>
        </w:rPr>
        <w:t xml:space="preserve">Greater Sydney, </w:t>
      </w:r>
      <w:r w:rsidR="00A65755">
        <w:rPr>
          <w:sz w:val="22"/>
          <w:szCs w:val="22"/>
        </w:rPr>
        <w:t>the Rest of NSW</w:t>
      </w:r>
      <w:r w:rsidR="001775D4">
        <w:rPr>
          <w:sz w:val="22"/>
          <w:szCs w:val="22"/>
        </w:rPr>
        <w:t xml:space="preserve"> and NSW</w:t>
      </w:r>
      <w:r w:rsidR="00A65755">
        <w:rPr>
          <w:sz w:val="22"/>
          <w:szCs w:val="22"/>
        </w:rPr>
        <w:t>,</w:t>
      </w:r>
      <w:r w:rsidR="00A30C29">
        <w:rPr>
          <w:sz w:val="22"/>
          <w:szCs w:val="22"/>
        </w:rPr>
        <w:t xml:space="preserve"> </w:t>
      </w:r>
      <w:r w:rsidRPr="00EC3534">
        <w:rPr>
          <w:sz w:val="22"/>
          <w:szCs w:val="22"/>
        </w:rPr>
        <w:t>between 20</w:t>
      </w:r>
      <w:r w:rsidR="00A30C29">
        <w:rPr>
          <w:sz w:val="22"/>
          <w:szCs w:val="22"/>
        </w:rPr>
        <w:t>0</w:t>
      </w:r>
      <w:r w:rsidRPr="00EC3534">
        <w:rPr>
          <w:sz w:val="22"/>
          <w:szCs w:val="22"/>
        </w:rPr>
        <w:t>1 and</w:t>
      </w:r>
      <w:r w:rsidR="002F65C1">
        <w:rPr>
          <w:sz w:val="22"/>
          <w:szCs w:val="22"/>
        </w:rPr>
        <w:t xml:space="preserve"> </w:t>
      </w:r>
      <w:r w:rsidR="000629E3" w:rsidRPr="002F65C1">
        <w:rPr>
          <w:sz w:val="22"/>
          <w:szCs w:val="22"/>
        </w:rPr>
        <w:t>2021</w:t>
      </w:r>
      <w:r w:rsidR="000629E3">
        <w:rPr>
          <w:sz w:val="22"/>
          <w:szCs w:val="22"/>
        </w:rPr>
        <w:t>.</w:t>
      </w:r>
    </w:p>
    <w:p w14:paraId="7BE26A2F" w14:textId="77777777" w:rsidR="00E1656E" w:rsidRDefault="001F0A79" w:rsidP="00E1656E">
      <w:pPr>
        <w:jc w:val="both"/>
        <w:rPr>
          <w:b/>
          <w:sz w:val="20"/>
          <w:szCs w:val="20"/>
          <w:highlight w:val="yellow"/>
        </w:rPr>
      </w:pPr>
      <w:r w:rsidRPr="001775D4">
        <w:rPr>
          <w:b/>
          <w:noProof/>
          <w:sz w:val="20"/>
          <w:szCs w:val="20"/>
        </w:rPr>
        <w:lastRenderedPageBreak/>
        <w:drawing>
          <wp:inline distT="0" distB="0" distL="0" distR="0" wp14:anchorId="7C71DC7B" wp14:editId="372461EE">
            <wp:extent cx="5926455" cy="273038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1276" cy="2737217"/>
                    </a:xfrm>
                    <a:prstGeom prst="rect">
                      <a:avLst/>
                    </a:prstGeom>
                    <a:noFill/>
                  </pic:spPr>
                </pic:pic>
              </a:graphicData>
            </a:graphic>
          </wp:inline>
        </w:drawing>
      </w:r>
    </w:p>
    <w:p w14:paraId="381098BE" w14:textId="77777777" w:rsidR="001069E6" w:rsidRPr="00A342AC" w:rsidRDefault="001069E6" w:rsidP="00E1656E">
      <w:pPr>
        <w:jc w:val="both"/>
        <w:rPr>
          <w:sz w:val="22"/>
          <w:szCs w:val="22"/>
        </w:rPr>
      </w:pPr>
      <w:r w:rsidRPr="002F65C1">
        <w:rPr>
          <w:sz w:val="22"/>
          <w:szCs w:val="22"/>
        </w:rPr>
        <w:t>Affordable purchase for low income households</w:t>
      </w:r>
    </w:p>
    <w:p w14:paraId="6FC07AAD" w14:textId="77777777" w:rsidR="001069E6" w:rsidRPr="00A342AC" w:rsidRDefault="001069E6" w:rsidP="00E1656E">
      <w:pPr>
        <w:jc w:val="both"/>
        <w:rPr>
          <w:b/>
          <w:sz w:val="20"/>
          <w:szCs w:val="20"/>
        </w:rPr>
      </w:pPr>
      <w:r w:rsidRPr="001069E6">
        <w:rPr>
          <w:noProof/>
        </w:rPr>
        <w:drawing>
          <wp:inline distT="0" distB="0" distL="0" distR="0" wp14:anchorId="09CDBC0F" wp14:editId="34B441B3">
            <wp:extent cx="5943600" cy="1180348"/>
            <wp:effectExtent l="0" t="0" r="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27256" cy="1196961"/>
                    </a:xfrm>
                    <a:prstGeom prst="rect">
                      <a:avLst/>
                    </a:prstGeom>
                    <a:noFill/>
                    <a:ln>
                      <a:noFill/>
                    </a:ln>
                  </pic:spPr>
                </pic:pic>
              </a:graphicData>
            </a:graphic>
          </wp:inline>
        </w:drawing>
      </w:r>
    </w:p>
    <w:p w14:paraId="462F2DE4" w14:textId="77777777" w:rsidR="00165715" w:rsidRPr="00A342AC" w:rsidRDefault="00165715" w:rsidP="00E1656E">
      <w:pPr>
        <w:jc w:val="both"/>
        <w:rPr>
          <w:b/>
          <w:sz w:val="20"/>
          <w:szCs w:val="20"/>
        </w:rPr>
      </w:pPr>
    </w:p>
    <w:p w14:paraId="1B00652A" w14:textId="77777777" w:rsidR="001069E6" w:rsidRPr="00E1068C" w:rsidRDefault="001069E6" w:rsidP="001069E6">
      <w:pPr>
        <w:jc w:val="both"/>
        <w:rPr>
          <w:b/>
          <w:color w:val="008000"/>
          <w:sz w:val="32"/>
        </w:rPr>
      </w:pPr>
      <w:r w:rsidRPr="00E1068C">
        <w:rPr>
          <w:b/>
          <w:color w:val="008000"/>
          <w:sz w:val="32"/>
        </w:rPr>
        <w:t xml:space="preserve">Purchase </w:t>
      </w:r>
      <w:r>
        <w:rPr>
          <w:b/>
          <w:color w:val="008000"/>
          <w:sz w:val="32"/>
        </w:rPr>
        <w:t>Stress</w:t>
      </w:r>
    </w:p>
    <w:p w14:paraId="7935ADDB" w14:textId="77777777" w:rsidR="006A086D" w:rsidRPr="001D657E" w:rsidRDefault="007E4293" w:rsidP="006A086D">
      <w:pPr>
        <w:pStyle w:val="ListParagraph"/>
        <w:numPr>
          <w:ilvl w:val="0"/>
          <w:numId w:val="47"/>
        </w:numPr>
        <w:jc w:val="both"/>
        <w:rPr>
          <w:b/>
          <w:sz w:val="20"/>
          <w:szCs w:val="20"/>
        </w:rPr>
      </w:pPr>
      <w:r>
        <w:rPr>
          <w:sz w:val="22"/>
          <w:szCs w:val="22"/>
        </w:rPr>
        <w:t xml:space="preserve">In </w:t>
      </w:r>
      <w:r w:rsidR="006A086D">
        <w:rPr>
          <w:sz w:val="22"/>
          <w:szCs w:val="22"/>
        </w:rPr>
        <w:t>2021 there were 2,479 very low income households and 2,209 low income households purchasing a home and in stress across the Central Coast – that is, paying more than 30% of their income on thei</w:t>
      </w:r>
      <w:r w:rsidR="006D6011">
        <w:rPr>
          <w:sz w:val="22"/>
          <w:szCs w:val="22"/>
        </w:rPr>
        <w:t>r mortgage.  This represents 58</w:t>
      </w:r>
      <w:r w:rsidR="006A086D">
        <w:rPr>
          <w:sz w:val="22"/>
          <w:szCs w:val="22"/>
        </w:rPr>
        <w:t>.6% of very low and low income purchasers in the region – a slightly higher proportion than the a</w:t>
      </w:r>
      <w:r w:rsidR="006D6011">
        <w:rPr>
          <w:sz w:val="22"/>
          <w:szCs w:val="22"/>
        </w:rPr>
        <w:t>verage for the Rest of NSW at 56.5</w:t>
      </w:r>
      <w:r w:rsidR="006A086D">
        <w:rPr>
          <w:sz w:val="22"/>
          <w:szCs w:val="22"/>
        </w:rPr>
        <w:t>%.</w:t>
      </w:r>
    </w:p>
    <w:p w14:paraId="1B5BB434" w14:textId="77777777" w:rsidR="006A086D" w:rsidRDefault="006A086D" w:rsidP="00A342AC">
      <w:pPr>
        <w:pStyle w:val="ListParagraph"/>
        <w:ind w:left="360"/>
        <w:jc w:val="both"/>
        <w:rPr>
          <w:b/>
          <w:sz w:val="20"/>
          <w:szCs w:val="20"/>
        </w:rPr>
      </w:pPr>
    </w:p>
    <w:p w14:paraId="281CFC4B" w14:textId="77777777" w:rsidR="00EC5BAB" w:rsidRDefault="006A085B" w:rsidP="00E1656E">
      <w:pPr>
        <w:jc w:val="both"/>
        <w:rPr>
          <w:sz w:val="22"/>
          <w:szCs w:val="22"/>
        </w:rPr>
      </w:pPr>
      <w:r w:rsidRPr="00165715">
        <w:rPr>
          <w:sz w:val="22"/>
          <w:szCs w:val="22"/>
        </w:rPr>
        <w:t>Number of very low and low households in purchase stres</w:t>
      </w:r>
      <w:r w:rsidR="00314498" w:rsidRPr="00165715">
        <w:rPr>
          <w:sz w:val="22"/>
          <w:szCs w:val="22"/>
        </w:rPr>
        <w:t>s</w:t>
      </w:r>
    </w:p>
    <w:p w14:paraId="7B079512" w14:textId="77777777" w:rsidR="00314498" w:rsidRDefault="00314498" w:rsidP="00E1656E">
      <w:pPr>
        <w:jc w:val="both"/>
      </w:pPr>
      <w:r w:rsidRPr="00314498">
        <w:rPr>
          <w:noProof/>
        </w:rPr>
        <w:drawing>
          <wp:inline distT="0" distB="0" distL="0" distR="0" wp14:anchorId="024936FD" wp14:editId="4DCF3BE9">
            <wp:extent cx="5905500" cy="17238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25221" cy="1729617"/>
                    </a:xfrm>
                    <a:prstGeom prst="rect">
                      <a:avLst/>
                    </a:prstGeom>
                    <a:noFill/>
                    <a:ln>
                      <a:noFill/>
                    </a:ln>
                  </pic:spPr>
                </pic:pic>
              </a:graphicData>
            </a:graphic>
          </wp:inline>
        </w:drawing>
      </w:r>
    </w:p>
    <w:p w14:paraId="6CEECCD8" w14:textId="77777777" w:rsidR="000A7D90" w:rsidRPr="001D657E" w:rsidRDefault="00C16A1C" w:rsidP="000A7D90">
      <w:pPr>
        <w:pStyle w:val="ListParagraph"/>
        <w:numPr>
          <w:ilvl w:val="0"/>
          <w:numId w:val="54"/>
        </w:numPr>
        <w:jc w:val="both"/>
        <w:rPr>
          <w:sz w:val="22"/>
          <w:szCs w:val="22"/>
        </w:rPr>
      </w:pPr>
      <w:r>
        <w:rPr>
          <w:sz w:val="22"/>
          <w:szCs w:val="22"/>
        </w:rPr>
        <w:lastRenderedPageBreak/>
        <w:t>T</w:t>
      </w:r>
      <w:r w:rsidR="000A7D90">
        <w:rPr>
          <w:sz w:val="22"/>
          <w:szCs w:val="22"/>
        </w:rPr>
        <w:t>he number of very low and low income purchasers in stress is significantly lower than the number of very low and low income renters in stress in the region, as the graph below demonstrates.  There is a stronger need for more affordable housing for lower income renters than purchasers in the Central Coast.</w:t>
      </w:r>
    </w:p>
    <w:p w14:paraId="20357DAC" w14:textId="77777777" w:rsidR="001069E6" w:rsidRDefault="001069E6" w:rsidP="00E1656E">
      <w:pPr>
        <w:jc w:val="both"/>
      </w:pPr>
    </w:p>
    <w:p w14:paraId="3F22E50F" w14:textId="77777777" w:rsidR="000A7D90" w:rsidRDefault="009B2E06" w:rsidP="00E1656E">
      <w:pPr>
        <w:jc w:val="both"/>
        <w:rPr>
          <w:b/>
          <w:color w:val="008000"/>
          <w:sz w:val="32"/>
        </w:rPr>
      </w:pPr>
      <w:r>
        <w:rPr>
          <w:b/>
          <w:noProof/>
          <w:color w:val="008000"/>
          <w:sz w:val="32"/>
        </w:rPr>
        <w:drawing>
          <wp:inline distT="0" distB="0" distL="0" distR="0" wp14:anchorId="223A35BC" wp14:editId="2E2C40D8">
            <wp:extent cx="6017260" cy="30911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17260" cy="3091180"/>
                    </a:xfrm>
                    <a:prstGeom prst="rect">
                      <a:avLst/>
                    </a:prstGeom>
                    <a:noFill/>
                  </pic:spPr>
                </pic:pic>
              </a:graphicData>
            </a:graphic>
          </wp:inline>
        </w:drawing>
      </w:r>
    </w:p>
    <w:p w14:paraId="38BA456B" w14:textId="77777777" w:rsidR="000A7D90" w:rsidRDefault="000A7D90" w:rsidP="00E1656E">
      <w:pPr>
        <w:jc w:val="both"/>
        <w:rPr>
          <w:b/>
          <w:color w:val="008000"/>
          <w:sz w:val="32"/>
        </w:rPr>
      </w:pPr>
    </w:p>
    <w:p w14:paraId="5D05F2F6" w14:textId="77777777" w:rsidR="008F5BDC" w:rsidRDefault="00E1656E" w:rsidP="00E1656E">
      <w:pPr>
        <w:jc w:val="both"/>
        <w:rPr>
          <w:b/>
          <w:color w:val="008000"/>
          <w:sz w:val="32"/>
        </w:rPr>
      </w:pPr>
      <w:r w:rsidRPr="00281439">
        <w:rPr>
          <w:b/>
          <w:color w:val="008000"/>
          <w:sz w:val="32"/>
        </w:rPr>
        <w:t>Additional Data</w:t>
      </w:r>
      <w:r w:rsidR="00BA0D4C">
        <w:rPr>
          <w:b/>
          <w:color w:val="008000"/>
          <w:sz w:val="32"/>
        </w:rPr>
        <w:t xml:space="preserve"> </w:t>
      </w:r>
    </w:p>
    <w:p w14:paraId="4846A015" w14:textId="77777777" w:rsidR="00E1656E" w:rsidRPr="00EC3534" w:rsidRDefault="00E1656E" w:rsidP="00E1656E">
      <w:pPr>
        <w:jc w:val="both"/>
        <w:rPr>
          <w:sz w:val="22"/>
          <w:szCs w:val="22"/>
        </w:rPr>
      </w:pPr>
      <w:r w:rsidRPr="00EC3534">
        <w:rPr>
          <w:sz w:val="22"/>
          <w:szCs w:val="22"/>
        </w:rPr>
        <w:t xml:space="preserve">Additional data on rents and sale prices, including both current and historical data, is available from the Rent and Sales </w:t>
      </w:r>
      <w:r w:rsidR="00972DFA">
        <w:rPr>
          <w:sz w:val="22"/>
          <w:szCs w:val="22"/>
        </w:rPr>
        <w:t>Report and the interactive Dashboard</w:t>
      </w:r>
      <w:r w:rsidRPr="00EC3534">
        <w:rPr>
          <w:sz w:val="22"/>
          <w:szCs w:val="22"/>
        </w:rPr>
        <w:t xml:space="preserve"> on the Housing NSW website at:</w:t>
      </w:r>
    </w:p>
    <w:p w14:paraId="587821DD" w14:textId="77777777" w:rsidR="00972DFA" w:rsidRDefault="000A549C" w:rsidP="00E1656E">
      <w:pPr>
        <w:jc w:val="both"/>
        <w:rPr>
          <w:sz w:val="22"/>
          <w:szCs w:val="22"/>
        </w:rPr>
      </w:pPr>
      <w:hyperlink r:id="rId34" w:history="1">
        <w:r w:rsidR="00972DFA" w:rsidRPr="004D0CC5">
          <w:rPr>
            <w:rStyle w:val="Hyperlink"/>
            <w:sz w:val="22"/>
            <w:szCs w:val="22"/>
          </w:rPr>
          <w:t>https://www.facs.nsw.gov.au/resources/statistics/rent-and-sales/dashboard</w:t>
        </w:r>
      </w:hyperlink>
    </w:p>
    <w:p w14:paraId="13B80C21" w14:textId="2B55F100" w:rsidR="00E1656E" w:rsidRPr="00EC3534" w:rsidRDefault="00E1656E" w:rsidP="00E1656E">
      <w:pPr>
        <w:jc w:val="both"/>
        <w:rPr>
          <w:sz w:val="22"/>
          <w:szCs w:val="22"/>
        </w:rPr>
      </w:pPr>
      <w:r w:rsidRPr="00EC3534">
        <w:rPr>
          <w:sz w:val="22"/>
          <w:szCs w:val="22"/>
        </w:rPr>
        <w:t xml:space="preserve">More detailed housing data and tables used in this Snapshot are available from the Local Government Housing Kit Database on the </w:t>
      </w:r>
      <w:r w:rsidR="00E477A0">
        <w:rPr>
          <w:sz w:val="22"/>
          <w:szCs w:val="22"/>
        </w:rPr>
        <w:t>DCJ</w:t>
      </w:r>
      <w:r w:rsidRPr="00EC3534">
        <w:rPr>
          <w:sz w:val="22"/>
          <w:szCs w:val="22"/>
        </w:rPr>
        <w:t xml:space="preserve"> website at:</w:t>
      </w:r>
    </w:p>
    <w:p w14:paraId="16B61699" w14:textId="77777777" w:rsidR="00972DFA" w:rsidRDefault="000A549C" w:rsidP="00E1656E">
      <w:pPr>
        <w:jc w:val="both"/>
        <w:rPr>
          <w:sz w:val="22"/>
          <w:szCs w:val="22"/>
        </w:rPr>
      </w:pPr>
      <w:hyperlink r:id="rId35" w:history="1">
        <w:r w:rsidR="00972DFA" w:rsidRPr="004D0CC5">
          <w:rPr>
            <w:rStyle w:val="Hyperlink"/>
            <w:sz w:val="22"/>
            <w:szCs w:val="22"/>
          </w:rPr>
          <w:t>https://www.facs.nsw.gov.au/resources/nsw-local-government-housing-kit/chapters/local-government-housing-kit-database</w:t>
        </w:r>
      </w:hyperlink>
    </w:p>
    <w:p w14:paraId="628D9F6E" w14:textId="77777777" w:rsidR="00E1656E" w:rsidRDefault="00E1656E" w:rsidP="00E1656E">
      <w:pPr>
        <w:jc w:val="both"/>
        <w:rPr>
          <w:sz w:val="22"/>
          <w:szCs w:val="22"/>
        </w:rPr>
      </w:pPr>
      <w:r w:rsidRPr="00EC3534">
        <w:rPr>
          <w:sz w:val="22"/>
          <w:szCs w:val="22"/>
        </w:rPr>
        <w:t>More information on vacancy rates is available from the Real Estate Institute of NSW website:</w:t>
      </w:r>
    </w:p>
    <w:p w14:paraId="6E2A3379" w14:textId="77777777" w:rsidR="00972DFA" w:rsidRDefault="000A549C" w:rsidP="00E1656E">
      <w:pPr>
        <w:jc w:val="both"/>
        <w:rPr>
          <w:sz w:val="22"/>
          <w:szCs w:val="22"/>
        </w:rPr>
      </w:pPr>
      <w:hyperlink r:id="rId36" w:history="1">
        <w:r w:rsidR="00972DFA" w:rsidRPr="004D0CC5">
          <w:rPr>
            <w:rStyle w:val="Hyperlink"/>
            <w:sz w:val="22"/>
            <w:szCs w:val="22"/>
          </w:rPr>
          <w:t>https://www.reinsw.com.au/Web/Web/Members/Property_data/Vacancy_Rates_Survey.aspx</w:t>
        </w:r>
      </w:hyperlink>
    </w:p>
    <w:p w14:paraId="6405941A" w14:textId="77777777" w:rsidR="009D2867" w:rsidRDefault="002C04F8" w:rsidP="0050388E">
      <w:pPr>
        <w:rPr>
          <w:sz w:val="22"/>
          <w:szCs w:val="22"/>
        </w:rPr>
      </w:pPr>
      <w:r>
        <w:rPr>
          <w:sz w:val="22"/>
          <w:szCs w:val="22"/>
        </w:rPr>
        <w:t>The Rental Affordability Index is at</w:t>
      </w:r>
    </w:p>
    <w:p w14:paraId="450FA00F" w14:textId="77777777" w:rsidR="002C04F8" w:rsidRDefault="000A549C" w:rsidP="0050388E">
      <w:pPr>
        <w:rPr>
          <w:sz w:val="22"/>
          <w:szCs w:val="22"/>
        </w:rPr>
      </w:pPr>
      <w:hyperlink r:id="rId37" w:history="1">
        <w:r w:rsidR="002C04F8" w:rsidRPr="00581F7A">
          <w:rPr>
            <w:rStyle w:val="Hyperlink"/>
            <w:sz w:val="22"/>
            <w:szCs w:val="22"/>
          </w:rPr>
          <w:t>https://sgsep.com.au/projects/rental-affordability-index</w:t>
        </w:r>
      </w:hyperlink>
    </w:p>
    <w:p w14:paraId="037C2789" w14:textId="77777777" w:rsidR="002C04F8" w:rsidRPr="002C04F8" w:rsidRDefault="002C04F8" w:rsidP="0050388E">
      <w:pPr>
        <w:rPr>
          <w:sz w:val="22"/>
          <w:szCs w:val="22"/>
        </w:rPr>
      </w:pPr>
    </w:p>
    <w:sectPr w:rsidR="002C04F8" w:rsidRPr="002C04F8" w:rsidSect="00BB657B">
      <w:headerReference w:type="default" r:id="rId38"/>
      <w:footerReference w:type="default" r:id="rId39"/>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FA29" w14:textId="77777777" w:rsidR="00DD3521" w:rsidRDefault="00DD3521">
      <w:r>
        <w:separator/>
      </w:r>
    </w:p>
  </w:endnote>
  <w:endnote w:type="continuationSeparator" w:id="0">
    <w:p w14:paraId="5F81EA1B" w14:textId="77777777" w:rsidR="00DD3521" w:rsidRDefault="00DD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406322"/>
      <w:docPartObj>
        <w:docPartGallery w:val="Page Numbers (Bottom of Page)"/>
        <w:docPartUnique/>
      </w:docPartObj>
    </w:sdtPr>
    <w:sdtEndPr>
      <w:rPr>
        <w:noProof/>
      </w:rPr>
    </w:sdtEndPr>
    <w:sdtContent>
      <w:p w14:paraId="2EEEE286" w14:textId="77777777" w:rsidR="008F5BDC" w:rsidRDefault="008F5BDC">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D750B5E" w14:textId="77777777" w:rsidR="00DD3521" w:rsidRPr="00EC070F" w:rsidRDefault="00DD3521">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663F" w14:textId="77777777" w:rsidR="00DD3521" w:rsidRDefault="00DD3521">
      <w:r>
        <w:separator/>
      </w:r>
    </w:p>
  </w:footnote>
  <w:footnote w:type="continuationSeparator" w:id="0">
    <w:p w14:paraId="056CA655" w14:textId="77777777" w:rsidR="00DD3521" w:rsidRDefault="00DD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80FC" w14:textId="77777777" w:rsidR="00DD3521" w:rsidRDefault="00DD3521" w:rsidP="00555F5C">
    <w:pPr>
      <w:pStyle w:val="Factsheet"/>
      <w:ind w:left="7200"/>
      <w:jc w:val="left"/>
    </w:pPr>
    <w:r>
      <w:rPr>
        <w:noProof/>
      </w:rPr>
      <w:drawing>
        <wp:anchor distT="0" distB="0" distL="114300" distR="114300" simplePos="0" relativeHeight="251659264" behindDoc="1" locked="0" layoutInCell="1" allowOverlap="1" wp14:anchorId="171135E8" wp14:editId="0A4DBE4E">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br/>
    </w:r>
  </w:p>
  <w:p w14:paraId="0451299A" w14:textId="77777777" w:rsidR="00DD3521" w:rsidRPr="001F5B89" w:rsidRDefault="00DD3521"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8AF"/>
    <w:multiLevelType w:val="hybridMultilevel"/>
    <w:tmpl w:val="5844AE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919B9"/>
    <w:multiLevelType w:val="hybridMultilevel"/>
    <w:tmpl w:val="EF704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A41AFA"/>
    <w:multiLevelType w:val="hybridMultilevel"/>
    <w:tmpl w:val="7098DCE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BC2BAF"/>
    <w:multiLevelType w:val="hybridMultilevel"/>
    <w:tmpl w:val="E7CAE1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13196E"/>
    <w:multiLevelType w:val="hybridMultilevel"/>
    <w:tmpl w:val="8638B4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555519"/>
    <w:multiLevelType w:val="hybridMultilevel"/>
    <w:tmpl w:val="DF50B32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BF4A34"/>
    <w:multiLevelType w:val="hybridMultilevel"/>
    <w:tmpl w:val="D3A0411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0551C0"/>
    <w:multiLevelType w:val="hybridMultilevel"/>
    <w:tmpl w:val="A34051B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370D84"/>
    <w:multiLevelType w:val="hybridMultilevel"/>
    <w:tmpl w:val="312255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E67A62"/>
    <w:multiLevelType w:val="hybridMultilevel"/>
    <w:tmpl w:val="FE802B2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055C04"/>
    <w:multiLevelType w:val="hybridMultilevel"/>
    <w:tmpl w:val="967810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B53B45"/>
    <w:multiLevelType w:val="hybridMultilevel"/>
    <w:tmpl w:val="8A348E5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6B15C0"/>
    <w:multiLevelType w:val="multilevel"/>
    <w:tmpl w:val="7F48644A"/>
    <w:numStyleLink w:val="Bulletpoint"/>
  </w:abstractNum>
  <w:abstractNum w:abstractNumId="15" w15:restartNumberingAfterBreak="0">
    <w:nsid w:val="2690109D"/>
    <w:multiLevelType w:val="hybridMultilevel"/>
    <w:tmpl w:val="500C3E5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71481C"/>
    <w:multiLevelType w:val="hybridMultilevel"/>
    <w:tmpl w:val="5DBA25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3F2352"/>
    <w:multiLevelType w:val="hybridMultilevel"/>
    <w:tmpl w:val="5AFC0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C404729"/>
    <w:multiLevelType w:val="hybridMultilevel"/>
    <w:tmpl w:val="371A41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A80D0E"/>
    <w:multiLevelType w:val="hybridMultilevel"/>
    <w:tmpl w:val="54E2BAE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EC16789"/>
    <w:multiLevelType w:val="hybridMultilevel"/>
    <w:tmpl w:val="7B0039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B445CA"/>
    <w:multiLevelType w:val="hybridMultilevel"/>
    <w:tmpl w:val="28ACAD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1D62B91"/>
    <w:multiLevelType w:val="hybridMultilevel"/>
    <w:tmpl w:val="1A906C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B933B8"/>
    <w:multiLevelType w:val="hybridMultilevel"/>
    <w:tmpl w:val="F800B74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B25C55"/>
    <w:multiLevelType w:val="hybridMultilevel"/>
    <w:tmpl w:val="6E481A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681645"/>
    <w:multiLevelType w:val="hybridMultilevel"/>
    <w:tmpl w:val="7C1CD2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DDD03D4"/>
    <w:multiLevelType w:val="hybridMultilevel"/>
    <w:tmpl w:val="0EFE6AE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9A5DCD"/>
    <w:multiLevelType w:val="hybridMultilevel"/>
    <w:tmpl w:val="A4DC09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2EA4607"/>
    <w:multiLevelType w:val="hybridMultilevel"/>
    <w:tmpl w:val="7F56833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44E2FA0"/>
    <w:multiLevelType w:val="hybridMultilevel"/>
    <w:tmpl w:val="9EE2E3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52F6868"/>
    <w:multiLevelType w:val="hybridMultilevel"/>
    <w:tmpl w:val="362A79F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88904F4"/>
    <w:multiLevelType w:val="hybridMultilevel"/>
    <w:tmpl w:val="5D006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903314B"/>
    <w:multiLevelType w:val="hybridMultilevel"/>
    <w:tmpl w:val="D0F24F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13517E"/>
    <w:multiLevelType w:val="hybridMultilevel"/>
    <w:tmpl w:val="021C487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B94209C"/>
    <w:multiLevelType w:val="hybridMultilevel"/>
    <w:tmpl w:val="5A667B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F91270E"/>
    <w:multiLevelType w:val="multilevel"/>
    <w:tmpl w:val="7F48644A"/>
    <w:numStyleLink w:val="Bulletpoint"/>
  </w:abstractNum>
  <w:abstractNum w:abstractNumId="36" w15:restartNumberingAfterBreak="0">
    <w:nsid w:val="53C90B24"/>
    <w:multiLevelType w:val="hybridMultilevel"/>
    <w:tmpl w:val="27484F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4114829"/>
    <w:multiLevelType w:val="multilevel"/>
    <w:tmpl w:val="7F48644A"/>
    <w:numStyleLink w:val="Bulletpoint"/>
  </w:abstractNum>
  <w:abstractNum w:abstractNumId="38" w15:restartNumberingAfterBreak="0">
    <w:nsid w:val="5515489F"/>
    <w:multiLevelType w:val="hybridMultilevel"/>
    <w:tmpl w:val="6CE622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D554CF"/>
    <w:multiLevelType w:val="hybridMultilevel"/>
    <w:tmpl w:val="A8E619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9128B6"/>
    <w:multiLevelType w:val="hybridMultilevel"/>
    <w:tmpl w:val="340AB4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4D87F82"/>
    <w:multiLevelType w:val="hybridMultilevel"/>
    <w:tmpl w:val="82EAB66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54C5432"/>
    <w:multiLevelType w:val="hybridMultilevel"/>
    <w:tmpl w:val="9118E9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5BF2184"/>
    <w:multiLevelType w:val="hybridMultilevel"/>
    <w:tmpl w:val="113EC8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BE86F3D"/>
    <w:multiLevelType w:val="hybridMultilevel"/>
    <w:tmpl w:val="55DAE7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41F1A4A"/>
    <w:multiLevelType w:val="hybridMultilevel"/>
    <w:tmpl w:val="8AC07A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493000C"/>
    <w:multiLevelType w:val="hybridMultilevel"/>
    <w:tmpl w:val="CFA484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4EE16AF"/>
    <w:multiLevelType w:val="hybridMultilevel"/>
    <w:tmpl w:val="C8643D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58674A5"/>
    <w:multiLevelType w:val="hybridMultilevel"/>
    <w:tmpl w:val="5F8033EE"/>
    <w:lvl w:ilvl="0" w:tplc="0C090005">
      <w:start w:val="1"/>
      <w:numFmt w:val="bullet"/>
      <w:lvlText w:val=""/>
      <w:lvlJc w:val="left"/>
      <w:pPr>
        <w:tabs>
          <w:tab w:val="num" w:pos="360"/>
        </w:tabs>
        <w:ind w:left="36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79894CAF"/>
    <w:multiLevelType w:val="hybridMultilevel"/>
    <w:tmpl w:val="7B9813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A206EE4"/>
    <w:multiLevelType w:val="hybridMultilevel"/>
    <w:tmpl w:val="D43CA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C89787E"/>
    <w:multiLevelType w:val="hybridMultilevel"/>
    <w:tmpl w:val="6100A6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46773568">
    <w:abstractNumId w:val="1"/>
  </w:num>
  <w:num w:numId="2" w16cid:durableId="212929354">
    <w:abstractNumId w:val="41"/>
  </w:num>
  <w:num w:numId="3" w16cid:durableId="546723681">
    <w:abstractNumId w:val="37"/>
  </w:num>
  <w:num w:numId="4" w16cid:durableId="153763605">
    <w:abstractNumId w:val="35"/>
  </w:num>
  <w:num w:numId="5" w16cid:durableId="115876855">
    <w:abstractNumId w:val="14"/>
  </w:num>
  <w:num w:numId="6" w16cid:durableId="1798068292">
    <w:abstractNumId w:val="47"/>
  </w:num>
  <w:num w:numId="7" w16cid:durableId="1210919251">
    <w:abstractNumId w:val="9"/>
  </w:num>
  <w:num w:numId="8" w16cid:durableId="142505423">
    <w:abstractNumId w:val="49"/>
  </w:num>
  <w:num w:numId="9" w16cid:durableId="687025129">
    <w:abstractNumId w:val="48"/>
  </w:num>
  <w:num w:numId="10" w16cid:durableId="2056931697">
    <w:abstractNumId w:val="39"/>
  </w:num>
  <w:num w:numId="11" w16cid:durableId="1045523260">
    <w:abstractNumId w:val="23"/>
  </w:num>
  <w:num w:numId="12" w16cid:durableId="312026287">
    <w:abstractNumId w:val="33"/>
  </w:num>
  <w:num w:numId="13" w16cid:durableId="173611266">
    <w:abstractNumId w:val="43"/>
  </w:num>
  <w:num w:numId="14" w16cid:durableId="464011219">
    <w:abstractNumId w:val="19"/>
  </w:num>
  <w:num w:numId="15" w16cid:durableId="1429765663">
    <w:abstractNumId w:val="31"/>
  </w:num>
  <w:num w:numId="16" w16cid:durableId="1853564638">
    <w:abstractNumId w:val="16"/>
  </w:num>
  <w:num w:numId="17" w16cid:durableId="1410232657">
    <w:abstractNumId w:val="17"/>
  </w:num>
  <w:num w:numId="18" w16cid:durableId="2008315043">
    <w:abstractNumId w:val="13"/>
  </w:num>
  <w:num w:numId="19" w16cid:durableId="1777823002">
    <w:abstractNumId w:val="28"/>
  </w:num>
  <w:num w:numId="20" w16cid:durableId="1504779843">
    <w:abstractNumId w:val="30"/>
  </w:num>
  <w:num w:numId="21" w16cid:durableId="688415212">
    <w:abstractNumId w:val="54"/>
  </w:num>
  <w:num w:numId="22" w16cid:durableId="1285380554">
    <w:abstractNumId w:val="6"/>
  </w:num>
  <w:num w:numId="23" w16cid:durableId="2011055714">
    <w:abstractNumId w:val="11"/>
  </w:num>
  <w:num w:numId="24" w16cid:durableId="366105159">
    <w:abstractNumId w:val="10"/>
  </w:num>
  <w:num w:numId="25" w16cid:durableId="876965926">
    <w:abstractNumId w:val="7"/>
  </w:num>
  <w:num w:numId="26" w16cid:durableId="2133666217">
    <w:abstractNumId w:val="46"/>
  </w:num>
  <w:num w:numId="27" w16cid:durableId="1369841619">
    <w:abstractNumId w:val="8"/>
  </w:num>
  <w:num w:numId="28" w16cid:durableId="1537964280">
    <w:abstractNumId w:val="40"/>
  </w:num>
  <w:num w:numId="29" w16cid:durableId="2078631437">
    <w:abstractNumId w:val="45"/>
  </w:num>
  <w:num w:numId="30" w16cid:durableId="959460228">
    <w:abstractNumId w:val="34"/>
  </w:num>
  <w:num w:numId="31" w16cid:durableId="276177289">
    <w:abstractNumId w:val="15"/>
  </w:num>
  <w:num w:numId="32" w16cid:durableId="1340080748">
    <w:abstractNumId w:val="22"/>
  </w:num>
  <w:num w:numId="33" w16cid:durableId="1126198208">
    <w:abstractNumId w:val="24"/>
  </w:num>
  <w:num w:numId="34" w16cid:durableId="1398086482">
    <w:abstractNumId w:val="0"/>
  </w:num>
  <w:num w:numId="35" w16cid:durableId="1299651460">
    <w:abstractNumId w:val="20"/>
  </w:num>
  <w:num w:numId="36" w16cid:durableId="1506290102">
    <w:abstractNumId w:val="53"/>
  </w:num>
  <w:num w:numId="37" w16cid:durableId="692420173">
    <w:abstractNumId w:val="25"/>
  </w:num>
  <w:num w:numId="38" w16cid:durableId="1561361110">
    <w:abstractNumId w:val="55"/>
  </w:num>
  <w:num w:numId="39" w16cid:durableId="1649481863">
    <w:abstractNumId w:val="12"/>
  </w:num>
  <w:num w:numId="40" w16cid:durableId="2086103605">
    <w:abstractNumId w:val="44"/>
  </w:num>
  <w:num w:numId="41" w16cid:durableId="1214073423">
    <w:abstractNumId w:val="26"/>
  </w:num>
  <w:num w:numId="42" w16cid:durableId="1532376608">
    <w:abstractNumId w:val="52"/>
  </w:num>
  <w:num w:numId="43" w16cid:durableId="1456487759">
    <w:abstractNumId w:val="2"/>
  </w:num>
  <w:num w:numId="44" w16cid:durableId="1932007520">
    <w:abstractNumId w:val="18"/>
  </w:num>
  <w:num w:numId="45" w16cid:durableId="309016273">
    <w:abstractNumId w:val="21"/>
  </w:num>
  <w:num w:numId="46" w16cid:durableId="478500655">
    <w:abstractNumId w:val="3"/>
  </w:num>
  <w:num w:numId="47" w16cid:durableId="1526947141">
    <w:abstractNumId w:val="36"/>
  </w:num>
  <w:num w:numId="48" w16cid:durableId="159467512">
    <w:abstractNumId w:val="42"/>
  </w:num>
  <w:num w:numId="49" w16cid:durableId="691685620">
    <w:abstractNumId w:val="4"/>
  </w:num>
  <w:num w:numId="50" w16cid:durableId="808979560">
    <w:abstractNumId w:val="29"/>
  </w:num>
  <w:num w:numId="51" w16cid:durableId="857080544">
    <w:abstractNumId w:val="5"/>
  </w:num>
  <w:num w:numId="52" w16cid:durableId="1180701205">
    <w:abstractNumId w:val="38"/>
  </w:num>
  <w:num w:numId="53" w16cid:durableId="2079863546">
    <w:abstractNumId w:val="27"/>
  </w:num>
  <w:num w:numId="54" w16cid:durableId="56711081">
    <w:abstractNumId w:val="50"/>
  </w:num>
  <w:num w:numId="55" w16cid:durableId="2096585174">
    <w:abstractNumId w:val="32"/>
  </w:num>
  <w:num w:numId="56" w16cid:durableId="629870113">
    <w:abstractNumId w:val="56"/>
  </w:num>
  <w:num w:numId="57" w16cid:durableId="1502618125">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537C"/>
    <w:rsid w:val="000073E7"/>
    <w:rsid w:val="00011380"/>
    <w:rsid w:val="00011BCE"/>
    <w:rsid w:val="000128F8"/>
    <w:rsid w:val="000148F5"/>
    <w:rsid w:val="00014DFA"/>
    <w:rsid w:val="00014F49"/>
    <w:rsid w:val="0001509B"/>
    <w:rsid w:val="0001657D"/>
    <w:rsid w:val="0002002B"/>
    <w:rsid w:val="00023142"/>
    <w:rsid w:val="0002385F"/>
    <w:rsid w:val="000238BE"/>
    <w:rsid w:val="00023CB0"/>
    <w:rsid w:val="00025B62"/>
    <w:rsid w:val="0002652D"/>
    <w:rsid w:val="00026E5F"/>
    <w:rsid w:val="0002705A"/>
    <w:rsid w:val="000301A0"/>
    <w:rsid w:val="00030840"/>
    <w:rsid w:val="000329C1"/>
    <w:rsid w:val="000331DB"/>
    <w:rsid w:val="00033A9F"/>
    <w:rsid w:val="0003643E"/>
    <w:rsid w:val="000406DD"/>
    <w:rsid w:val="000411E5"/>
    <w:rsid w:val="00042E77"/>
    <w:rsid w:val="0004492A"/>
    <w:rsid w:val="00045AF7"/>
    <w:rsid w:val="00047744"/>
    <w:rsid w:val="00050277"/>
    <w:rsid w:val="000545D9"/>
    <w:rsid w:val="00054D7D"/>
    <w:rsid w:val="000610BC"/>
    <w:rsid w:val="00062436"/>
    <w:rsid w:val="000629E3"/>
    <w:rsid w:val="00064BA4"/>
    <w:rsid w:val="00067E94"/>
    <w:rsid w:val="00071F45"/>
    <w:rsid w:val="0007285B"/>
    <w:rsid w:val="00074515"/>
    <w:rsid w:val="0007502D"/>
    <w:rsid w:val="0007553F"/>
    <w:rsid w:val="00075B28"/>
    <w:rsid w:val="00075BC0"/>
    <w:rsid w:val="0007698C"/>
    <w:rsid w:val="0007784F"/>
    <w:rsid w:val="000808D2"/>
    <w:rsid w:val="00080FD7"/>
    <w:rsid w:val="000825C2"/>
    <w:rsid w:val="0008467A"/>
    <w:rsid w:val="00086B8E"/>
    <w:rsid w:val="000874FE"/>
    <w:rsid w:val="00091AA4"/>
    <w:rsid w:val="0009596E"/>
    <w:rsid w:val="00095D8D"/>
    <w:rsid w:val="00096208"/>
    <w:rsid w:val="00096EE0"/>
    <w:rsid w:val="000A0F1E"/>
    <w:rsid w:val="000A5290"/>
    <w:rsid w:val="000A549C"/>
    <w:rsid w:val="000A5608"/>
    <w:rsid w:val="000A6642"/>
    <w:rsid w:val="000A7162"/>
    <w:rsid w:val="000A7D90"/>
    <w:rsid w:val="000B1862"/>
    <w:rsid w:val="000B2289"/>
    <w:rsid w:val="000B2634"/>
    <w:rsid w:val="000B2A74"/>
    <w:rsid w:val="000B3A4A"/>
    <w:rsid w:val="000B3FA4"/>
    <w:rsid w:val="000B56D8"/>
    <w:rsid w:val="000B61E9"/>
    <w:rsid w:val="000B75EB"/>
    <w:rsid w:val="000C0268"/>
    <w:rsid w:val="000C2867"/>
    <w:rsid w:val="000C3B4F"/>
    <w:rsid w:val="000C662F"/>
    <w:rsid w:val="000C6B1E"/>
    <w:rsid w:val="000D2599"/>
    <w:rsid w:val="000D40E6"/>
    <w:rsid w:val="000D7FA3"/>
    <w:rsid w:val="000E078B"/>
    <w:rsid w:val="000E182F"/>
    <w:rsid w:val="000E1E21"/>
    <w:rsid w:val="000E2711"/>
    <w:rsid w:val="000E5B59"/>
    <w:rsid w:val="000E7008"/>
    <w:rsid w:val="000F053E"/>
    <w:rsid w:val="000F249F"/>
    <w:rsid w:val="000F3370"/>
    <w:rsid w:val="000F3C73"/>
    <w:rsid w:val="000F461F"/>
    <w:rsid w:val="000F6CE6"/>
    <w:rsid w:val="000F6F9D"/>
    <w:rsid w:val="00101958"/>
    <w:rsid w:val="001034A8"/>
    <w:rsid w:val="00104FC4"/>
    <w:rsid w:val="001069E6"/>
    <w:rsid w:val="001130CD"/>
    <w:rsid w:val="00113B05"/>
    <w:rsid w:val="00117158"/>
    <w:rsid w:val="001174B1"/>
    <w:rsid w:val="00122CAE"/>
    <w:rsid w:val="00124388"/>
    <w:rsid w:val="0012441C"/>
    <w:rsid w:val="001253F4"/>
    <w:rsid w:val="0012550A"/>
    <w:rsid w:val="0012612C"/>
    <w:rsid w:val="0013027E"/>
    <w:rsid w:val="00131EA4"/>
    <w:rsid w:val="00132F07"/>
    <w:rsid w:val="001344D3"/>
    <w:rsid w:val="001344DC"/>
    <w:rsid w:val="00135905"/>
    <w:rsid w:val="00137892"/>
    <w:rsid w:val="00137F70"/>
    <w:rsid w:val="00140885"/>
    <w:rsid w:val="0014184B"/>
    <w:rsid w:val="00142DBC"/>
    <w:rsid w:val="00143399"/>
    <w:rsid w:val="0014341D"/>
    <w:rsid w:val="00143A3E"/>
    <w:rsid w:val="001441BA"/>
    <w:rsid w:val="00146DD9"/>
    <w:rsid w:val="001501E7"/>
    <w:rsid w:val="00150F0C"/>
    <w:rsid w:val="00151375"/>
    <w:rsid w:val="001513E0"/>
    <w:rsid w:val="001517A4"/>
    <w:rsid w:val="00151AAF"/>
    <w:rsid w:val="00152CFA"/>
    <w:rsid w:val="001537A4"/>
    <w:rsid w:val="00156081"/>
    <w:rsid w:val="00162916"/>
    <w:rsid w:val="00163B75"/>
    <w:rsid w:val="00165715"/>
    <w:rsid w:val="00165BCC"/>
    <w:rsid w:val="0016630F"/>
    <w:rsid w:val="001663F4"/>
    <w:rsid w:val="001669DC"/>
    <w:rsid w:val="0017182A"/>
    <w:rsid w:val="00171F63"/>
    <w:rsid w:val="001735C4"/>
    <w:rsid w:val="001742EA"/>
    <w:rsid w:val="00175CFF"/>
    <w:rsid w:val="0017634D"/>
    <w:rsid w:val="001769EC"/>
    <w:rsid w:val="001775D4"/>
    <w:rsid w:val="00181923"/>
    <w:rsid w:val="00182CDB"/>
    <w:rsid w:val="00184737"/>
    <w:rsid w:val="001909CA"/>
    <w:rsid w:val="00194E4A"/>
    <w:rsid w:val="00197B58"/>
    <w:rsid w:val="001A0A02"/>
    <w:rsid w:val="001A3F4F"/>
    <w:rsid w:val="001A6426"/>
    <w:rsid w:val="001B00B6"/>
    <w:rsid w:val="001B17A1"/>
    <w:rsid w:val="001B27D6"/>
    <w:rsid w:val="001B2A55"/>
    <w:rsid w:val="001B3A46"/>
    <w:rsid w:val="001B4A6B"/>
    <w:rsid w:val="001B4D62"/>
    <w:rsid w:val="001B79B1"/>
    <w:rsid w:val="001C15E4"/>
    <w:rsid w:val="001C236A"/>
    <w:rsid w:val="001C30CD"/>
    <w:rsid w:val="001C37D4"/>
    <w:rsid w:val="001C6396"/>
    <w:rsid w:val="001C71A1"/>
    <w:rsid w:val="001D0C88"/>
    <w:rsid w:val="001D144E"/>
    <w:rsid w:val="001D3CC0"/>
    <w:rsid w:val="001D4D66"/>
    <w:rsid w:val="001D77A4"/>
    <w:rsid w:val="001E12EE"/>
    <w:rsid w:val="001E17F6"/>
    <w:rsid w:val="001E1D5E"/>
    <w:rsid w:val="001E556C"/>
    <w:rsid w:val="001E783A"/>
    <w:rsid w:val="001F0A79"/>
    <w:rsid w:val="001F2B5D"/>
    <w:rsid w:val="001F3B60"/>
    <w:rsid w:val="001F46C1"/>
    <w:rsid w:val="001F5B89"/>
    <w:rsid w:val="001F5E9F"/>
    <w:rsid w:val="001F777F"/>
    <w:rsid w:val="002010FF"/>
    <w:rsid w:val="00201EC7"/>
    <w:rsid w:val="00203AFA"/>
    <w:rsid w:val="00203F4C"/>
    <w:rsid w:val="00206468"/>
    <w:rsid w:val="00211D3A"/>
    <w:rsid w:val="0021405C"/>
    <w:rsid w:val="002140CA"/>
    <w:rsid w:val="00214EA2"/>
    <w:rsid w:val="00215557"/>
    <w:rsid w:val="002162B2"/>
    <w:rsid w:val="00217B75"/>
    <w:rsid w:val="00220972"/>
    <w:rsid w:val="00221E16"/>
    <w:rsid w:val="00223136"/>
    <w:rsid w:val="00226F44"/>
    <w:rsid w:val="002307C5"/>
    <w:rsid w:val="0023354E"/>
    <w:rsid w:val="00235151"/>
    <w:rsid w:val="00237B30"/>
    <w:rsid w:val="002407D0"/>
    <w:rsid w:val="002422C8"/>
    <w:rsid w:val="00245811"/>
    <w:rsid w:val="002513CB"/>
    <w:rsid w:val="002527DA"/>
    <w:rsid w:val="00253E47"/>
    <w:rsid w:val="002552D9"/>
    <w:rsid w:val="0026232D"/>
    <w:rsid w:val="00262CF8"/>
    <w:rsid w:val="0026359F"/>
    <w:rsid w:val="00263903"/>
    <w:rsid w:val="00266AEE"/>
    <w:rsid w:val="00266ECB"/>
    <w:rsid w:val="00270797"/>
    <w:rsid w:val="002718EB"/>
    <w:rsid w:val="00271FF2"/>
    <w:rsid w:val="00273BD2"/>
    <w:rsid w:val="002759E0"/>
    <w:rsid w:val="002805F3"/>
    <w:rsid w:val="0028254B"/>
    <w:rsid w:val="00283423"/>
    <w:rsid w:val="0028595F"/>
    <w:rsid w:val="00285DA3"/>
    <w:rsid w:val="00285F8B"/>
    <w:rsid w:val="00294596"/>
    <w:rsid w:val="002976C9"/>
    <w:rsid w:val="002A07FD"/>
    <w:rsid w:val="002A22CC"/>
    <w:rsid w:val="002A2478"/>
    <w:rsid w:val="002A3643"/>
    <w:rsid w:val="002A63B7"/>
    <w:rsid w:val="002A7FC0"/>
    <w:rsid w:val="002B0833"/>
    <w:rsid w:val="002B2FBC"/>
    <w:rsid w:val="002B5215"/>
    <w:rsid w:val="002B745C"/>
    <w:rsid w:val="002B7895"/>
    <w:rsid w:val="002B79EF"/>
    <w:rsid w:val="002B7CEB"/>
    <w:rsid w:val="002C04F8"/>
    <w:rsid w:val="002C0C42"/>
    <w:rsid w:val="002C1746"/>
    <w:rsid w:val="002C2918"/>
    <w:rsid w:val="002C2A57"/>
    <w:rsid w:val="002C48DC"/>
    <w:rsid w:val="002C546D"/>
    <w:rsid w:val="002C75FA"/>
    <w:rsid w:val="002C7846"/>
    <w:rsid w:val="002C7F80"/>
    <w:rsid w:val="002D2808"/>
    <w:rsid w:val="002D3D98"/>
    <w:rsid w:val="002D473B"/>
    <w:rsid w:val="002D7FF1"/>
    <w:rsid w:val="002E1475"/>
    <w:rsid w:val="002E1989"/>
    <w:rsid w:val="002E23C3"/>
    <w:rsid w:val="002E4809"/>
    <w:rsid w:val="002E4BDE"/>
    <w:rsid w:val="002E5E5E"/>
    <w:rsid w:val="002E62AF"/>
    <w:rsid w:val="002E7126"/>
    <w:rsid w:val="002F11C1"/>
    <w:rsid w:val="002F194D"/>
    <w:rsid w:val="002F1BF6"/>
    <w:rsid w:val="002F3AFB"/>
    <w:rsid w:val="002F4E30"/>
    <w:rsid w:val="002F5488"/>
    <w:rsid w:val="002F558B"/>
    <w:rsid w:val="002F61A0"/>
    <w:rsid w:val="002F65C1"/>
    <w:rsid w:val="002F7EDC"/>
    <w:rsid w:val="00300844"/>
    <w:rsid w:val="003033E8"/>
    <w:rsid w:val="00305829"/>
    <w:rsid w:val="003065CF"/>
    <w:rsid w:val="00307D53"/>
    <w:rsid w:val="0031042B"/>
    <w:rsid w:val="003109AB"/>
    <w:rsid w:val="0031124B"/>
    <w:rsid w:val="003117CD"/>
    <w:rsid w:val="00314498"/>
    <w:rsid w:val="00315796"/>
    <w:rsid w:val="003173AB"/>
    <w:rsid w:val="00320D58"/>
    <w:rsid w:val="003268A3"/>
    <w:rsid w:val="003306A3"/>
    <w:rsid w:val="00330901"/>
    <w:rsid w:val="00333D00"/>
    <w:rsid w:val="00334EDE"/>
    <w:rsid w:val="0033547A"/>
    <w:rsid w:val="0034140D"/>
    <w:rsid w:val="003433C7"/>
    <w:rsid w:val="00343FC0"/>
    <w:rsid w:val="003451FB"/>
    <w:rsid w:val="003475A3"/>
    <w:rsid w:val="003511BA"/>
    <w:rsid w:val="003514DE"/>
    <w:rsid w:val="003519E4"/>
    <w:rsid w:val="00351E80"/>
    <w:rsid w:val="0035247A"/>
    <w:rsid w:val="00352D3F"/>
    <w:rsid w:val="003560A6"/>
    <w:rsid w:val="00360C09"/>
    <w:rsid w:val="00360EA0"/>
    <w:rsid w:val="003612DA"/>
    <w:rsid w:val="003638B1"/>
    <w:rsid w:val="00364B41"/>
    <w:rsid w:val="00364C92"/>
    <w:rsid w:val="00371240"/>
    <w:rsid w:val="0037151D"/>
    <w:rsid w:val="00373822"/>
    <w:rsid w:val="00374198"/>
    <w:rsid w:val="00381647"/>
    <w:rsid w:val="00382DD2"/>
    <w:rsid w:val="003832A1"/>
    <w:rsid w:val="00383F13"/>
    <w:rsid w:val="003864CF"/>
    <w:rsid w:val="003869F8"/>
    <w:rsid w:val="00393363"/>
    <w:rsid w:val="00393A47"/>
    <w:rsid w:val="00394F0A"/>
    <w:rsid w:val="00395DA8"/>
    <w:rsid w:val="003A0D8E"/>
    <w:rsid w:val="003A2183"/>
    <w:rsid w:val="003A2DAE"/>
    <w:rsid w:val="003A3F91"/>
    <w:rsid w:val="003A5B11"/>
    <w:rsid w:val="003A60EC"/>
    <w:rsid w:val="003A66E0"/>
    <w:rsid w:val="003A6E37"/>
    <w:rsid w:val="003A74D7"/>
    <w:rsid w:val="003B109B"/>
    <w:rsid w:val="003B17F8"/>
    <w:rsid w:val="003B1954"/>
    <w:rsid w:val="003B2029"/>
    <w:rsid w:val="003B312B"/>
    <w:rsid w:val="003B4FA9"/>
    <w:rsid w:val="003B5958"/>
    <w:rsid w:val="003B6984"/>
    <w:rsid w:val="003B76E6"/>
    <w:rsid w:val="003B7C6B"/>
    <w:rsid w:val="003C4670"/>
    <w:rsid w:val="003C497F"/>
    <w:rsid w:val="003D3366"/>
    <w:rsid w:val="003D3F7D"/>
    <w:rsid w:val="003D6256"/>
    <w:rsid w:val="003D74B2"/>
    <w:rsid w:val="003E027E"/>
    <w:rsid w:val="003E040E"/>
    <w:rsid w:val="003E2ACA"/>
    <w:rsid w:val="003E2B10"/>
    <w:rsid w:val="003E3494"/>
    <w:rsid w:val="003E3F20"/>
    <w:rsid w:val="003F0F71"/>
    <w:rsid w:val="003F12EE"/>
    <w:rsid w:val="003F188C"/>
    <w:rsid w:val="003F1D65"/>
    <w:rsid w:val="003F32FE"/>
    <w:rsid w:val="003F3EFD"/>
    <w:rsid w:val="003F4AE1"/>
    <w:rsid w:val="003F5D47"/>
    <w:rsid w:val="003F7832"/>
    <w:rsid w:val="00403E95"/>
    <w:rsid w:val="00403ECB"/>
    <w:rsid w:val="00404713"/>
    <w:rsid w:val="00413496"/>
    <w:rsid w:val="00414BFB"/>
    <w:rsid w:val="00415351"/>
    <w:rsid w:val="004157A1"/>
    <w:rsid w:val="0041637F"/>
    <w:rsid w:val="00417530"/>
    <w:rsid w:val="004209CB"/>
    <w:rsid w:val="004226F2"/>
    <w:rsid w:val="00422F58"/>
    <w:rsid w:val="004250D1"/>
    <w:rsid w:val="00426C75"/>
    <w:rsid w:val="00426CCF"/>
    <w:rsid w:val="0042762C"/>
    <w:rsid w:val="0042788F"/>
    <w:rsid w:val="0043154E"/>
    <w:rsid w:val="00431C7D"/>
    <w:rsid w:val="00432E44"/>
    <w:rsid w:val="00433911"/>
    <w:rsid w:val="00433F77"/>
    <w:rsid w:val="00435B38"/>
    <w:rsid w:val="00435FBE"/>
    <w:rsid w:val="0043730B"/>
    <w:rsid w:val="00437E31"/>
    <w:rsid w:val="00443223"/>
    <w:rsid w:val="004450E5"/>
    <w:rsid w:val="0044771E"/>
    <w:rsid w:val="004514ED"/>
    <w:rsid w:val="00456D1B"/>
    <w:rsid w:val="004578D4"/>
    <w:rsid w:val="0046116F"/>
    <w:rsid w:val="00462C0D"/>
    <w:rsid w:val="00463348"/>
    <w:rsid w:val="00463693"/>
    <w:rsid w:val="00465278"/>
    <w:rsid w:val="00465B77"/>
    <w:rsid w:val="00465CA9"/>
    <w:rsid w:val="00466F42"/>
    <w:rsid w:val="00471904"/>
    <w:rsid w:val="00471FED"/>
    <w:rsid w:val="00472613"/>
    <w:rsid w:val="00474D1F"/>
    <w:rsid w:val="00477082"/>
    <w:rsid w:val="0047716D"/>
    <w:rsid w:val="00482A4A"/>
    <w:rsid w:val="00483E4D"/>
    <w:rsid w:val="00484FED"/>
    <w:rsid w:val="004851A7"/>
    <w:rsid w:val="0048641F"/>
    <w:rsid w:val="00486ADF"/>
    <w:rsid w:val="00486FE9"/>
    <w:rsid w:val="00487C45"/>
    <w:rsid w:val="004905D6"/>
    <w:rsid w:val="004909FF"/>
    <w:rsid w:val="004918E9"/>
    <w:rsid w:val="00491E41"/>
    <w:rsid w:val="00492B05"/>
    <w:rsid w:val="004955BF"/>
    <w:rsid w:val="00497695"/>
    <w:rsid w:val="00497A81"/>
    <w:rsid w:val="004A39D0"/>
    <w:rsid w:val="004A58FB"/>
    <w:rsid w:val="004B0446"/>
    <w:rsid w:val="004B0D28"/>
    <w:rsid w:val="004B4725"/>
    <w:rsid w:val="004B47D6"/>
    <w:rsid w:val="004B5460"/>
    <w:rsid w:val="004B695E"/>
    <w:rsid w:val="004B73E4"/>
    <w:rsid w:val="004C4253"/>
    <w:rsid w:val="004C46B8"/>
    <w:rsid w:val="004C4868"/>
    <w:rsid w:val="004C74B6"/>
    <w:rsid w:val="004C7CEB"/>
    <w:rsid w:val="004D006D"/>
    <w:rsid w:val="004D3681"/>
    <w:rsid w:val="004D5B8A"/>
    <w:rsid w:val="004D5D40"/>
    <w:rsid w:val="004D7EA7"/>
    <w:rsid w:val="004E0D34"/>
    <w:rsid w:val="004E1DB3"/>
    <w:rsid w:val="004E3623"/>
    <w:rsid w:val="004E5367"/>
    <w:rsid w:val="004E5AF2"/>
    <w:rsid w:val="004E63F8"/>
    <w:rsid w:val="004F5225"/>
    <w:rsid w:val="004F68F4"/>
    <w:rsid w:val="00500814"/>
    <w:rsid w:val="00501A40"/>
    <w:rsid w:val="0050388E"/>
    <w:rsid w:val="0050731C"/>
    <w:rsid w:val="00512431"/>
    <w:rsid w:val="005138C1"/>
    <w:rsid w:val="00513B31"/>
    <w:rsid w:val="00514203"/>
    <w:rsid w:val="00515388"/>
    <w:rsid w:val="005176D3"/>
    <w:rsid w:val="00517D85"/>
    <w:rsid w:val="00523CA2"/>
    <w:rsid w:val="00532867"/>
    <w:rsid w:val="00532D44"/>
    <w:rsid w:val="005362AF"/>
    <w:rsid w:val="00537C3A"/>
    <w:rsid w:val="00540306"/>
    <w:rsid w:val="00540BEA"/>
    <w:rsid w:val="00542D54"/>
    <w:rsid w:val="005501FF"/>
    <w:rsid w:val="00552DEE"/>
    <w:rsid w:val="00555F5C"/>
    <w:rsid w:val="00557D72"/>
    <w:rsid w:val="0056136E"/>
    <w:rsid w:val="005641BC"/>
    <w:rsid w:val="00564A6D"/>
    <w:rsid w:val="00566044"/>
    <w:rsid w:val="005674AF"/>
    <w:rsid w:val="0056752E"/>
    <w:rsid w:val="00567A30"/>
    <w:rsid w:val="00571D4C"/>
    <w:rsid w:val="00572CB5"/>
    <w:rsid w:val="005736B4"/>
    <w:rsid w:val="005747BA"/>
    <w:rsid w:val="00575218"/>
    <w:rsid w:val="0057662F"/>
    <w:rsid w:val="00577525"/>
    <w:rsid w:val="0058035E"/>
    <w:rsid w:val="00581AED"/>
    <w:rsid w:val="00581C6C"/>
    <w:rsid w:val="00581EE8"/>
    <w:rsid w:val="00581F0A"/>
    <w:rsid w:val="00583D52"/>
    <w:rsid w:val="00584469"/>
    <w:rsid w:val="0058515E"/>
    <w:rsid w:val="005852F8"/>
    <w:rsid w:val="005859FB"/>
    <w:rsid w:val="00585E90"/>
    <w:rsid w:val="00587B7D"/>
    <w:rsid w:val="00587FC3"/>
    <w:rsid w:val="00592574"/>
    <w:rsid w:val="005927CC"/>
    <w:rsid w:val="005A14CC"/>
    <w:rsid w:val="005A2F57"/>
    <w:rsid w:val="005A515B"/>
    <w:rsid w:val="005A576C"/>
    <w:rsid w:val="005A5F47"/>
    <w:rsid w:val="005A74E6"/>
    <w:rsid w:val="005B03F0"/>
    <w:rsid w:val="005B05EB"/>
    <w:rsid w:val="005B3E6F"/>
    <w:rsid w:val="005B50AC"/>
    <w:rsid w:val="005B6857"/>
    <w:rsid w:val="005B72A1"/>
    <w:rsid w:val="005C03C7"/>
    <w:rsid w:val="005C0C76"/>
    <w:rsid w:val="005C1A32"/>
    <w:rsid w:val="005C3829"/>
    <w:rsid w:val="005D0369"/>
    <w:rsid w:val="005D2418"/>
    <w:rsid w:val="005D3C1E"/>
    <w:rsid w:val="005D5243"/>
    <w:rsid w:val="005E0E02"/>
    <w:rsid w:val="005E0EC4"/>
    <w:rsid w:val="005E1E6D"/>
    <w:rsid w:val="005E304F"/>
    <w:rsid w:val="005E4202"/>
    <w:rsid w:val="005E5D5C"/>
    <w:rsid w:val="005F265C"/>
    <w:rsid w:val="005F47CF"/>
    <w:rsid w:val="005F68CF"/>
    <w:rsid w:val="005F7C64"/>
    <w:rsid w:val="00602501"/>
    <w:rsid w:val="00602E79"/>
    <w:rsid w:val="006047A5"/>
    <w:rsid w:val="00604986"/>
    <w:rsid w:val="00606514"/>
    <w:rsid w:val="00606598"/>
    <w:rsid w:val="00606934"/>
    <w:rsid w:val="006165FD"/>
    <w:rsid w:val="00616FBF"/>
    <w:rsid w:val="0062186B"/>
    <w:rsid w:val="0062259C"/>
    <w:rsid w:val="00624195"/>
    <w:rsid w:val="00624F0D"/>
    <w:rsid w:val="00625A95"/>
    <w:rsid w:val="00625C93"/>
    <w:rsid w:val="006260A4"/>
    <w:rsid w:val="00626515"/>
    <w:rsid w:val="006268D0"/>
    <w:rsid w:val="0063059C"/>
    <w:rsid w:val="00635154"/>
    <w:rsid w:val="00637B17"/>
    <w:rsid w:val="006407A6"/>
    <w:rsid w:val="00640E74"/>
    <w:rsid w:val="00641B08"/>
    <w:rsid w:val="006454C0"/>
    <w:rsid w:val="00651675"/>
    <w:rsid w:val="006548A0"/>
    <w:rsid w:val="00655929"/>
    <w:rsid w:val="00655D0F"/>
    <w:rsid w:val="006560D6"/>
    <w:rsid w:val="00656D1A"/>
    <w:rsid w:val="00657E24"/>
    <w:rsid w:val="006604A0"/>
    <w:rsid w:val="00661A24"/>
    <w:rsid w:val="00662ABD"/>
    <w:rsid w:val="006632AB"/>
    <w:rsid w:val="0066560E"/>
    <w:rsid w:val="00667F27"/>
    <w:rsid w:val="00670DAD"/>
    <w:rsid w:val="00673F44"/>
    <w:rsid w:val="0067451E"/>
    <w:rsid w:val="006754B6"/>
    <w:rsid w:val="00675CB8"/>
    <w:rsid w:val="00676748"/>
    <w:rsid w:val="00676B97"/>
    <w:rsid w:val="00676D5D"/>
    <w:rsid w:val="00681CB1"/>
    <w:rsid w:val="0068374C"/>
    <w:rsid w:val="00683E88"/>
    <w:rsid w:val="00684100"/>
    <w:rsid w:val="00684688"/>
    <w:rsid w:val="00687190"/>
    <w:rsid w:val="00693256"/>
    <w:rsid w:val="0069529F"/>
    <w:rsid w:val="006971DF"/>
    <w:rsid w:val="006A0046"/>
    <w:rsid w:val="006A085B"/>
    <w:rsid w:val="006A086D"/>
    <w:rsid w:val="006A0FF7"/>
    <w:rsid w:val="006A3F87"/>
    <w:rsid w:val="006A5D5F"/>
    <w:rsid w:val="006A6DB1"/>
    <w:rsid w:val="006A7B4F"/>
    <w:rsid w:val="006B04CD"/>
    <w:rsid w:val="006B33CD"/>
    <w:rsid w:val="006B3B25"/>
    <w:rsid w:val="006B4028"/>
    <w:rsid w:val="006B480C"/>
    <w:rsid w:val="006B493D"/>
    <w:rsid w:val="006B5340"/>
    <w:rsid w:val="006B5948"/>
    <w:rsid w:val="006B6DB1"/>
    <w:rsid w:val="006C0C3B"/>
    <w:rsid w:val="006C2BA7"/>
    <w:rsid w:val="006C4501"/>
    <w:rsid w:val="006C47B1"/>
    <w:rsid w:val="006D1891"/>
    <w:rsid w:val="006D1E36"/>
    <w:rsid w:val="006D2E28"/>
    <w:rsid w:val="006D6011"/>
    <w:rsid w:val="006D6D40"/>
    <w:rsid w:val="006E09F6"/>
    <w:rsid w:val="006E17C6"/>
    <w:rsid w:val="006E1EBC"/>
    <w:rsid w:val="006E3BEB"/>
    <w:rsid w:val="006E3DF1"/>
    <w:rsid w:val="006E79A0"/>
    <w:rsid w:val="006F0E4E"/>
    <w:rsid w:val="006F1DD2"/>
    <w:rsid w:val="006F3E7B"/>
    <w:rsid w:val="006F3EEE"/>
    <w:rsid w:val="006F4102"/>
    <w:rsid w:val="006F55AF"/>
    <w:rsid w:val="006F678D"/>
    <w:rsid w:val="006F6F7F"/>
    <w:rsid w:val="006F7E8A"/>
    <w:rsid w:val="00700862"/>
    <w:rsid w:val="00700FFE"/>
    <w:rsid w:val="0070152B"/>
    <w:rsid w:val="0070389C"/>
    <w:rsid w:val="007039F2"/>
    <w:rsid w:val="00703E2D"/>
    <w:rsid w:val="00705798"/>
    <w:rsid w:val="00706202"/>
    <w:rsid w:val="00706E5A"/>
    <w:rsid w:val="00707B6E"/>
    <w:rsid w:val="00711F21"/>
    <w:rsid w:val="00712E51"/>
    <w:rsid w:val="007143CA"/>
    <w:rsid w:val="0072085C"/>
    <w:rsid w:val="007222AF"/>
    <w:rsid w:val="00722530"/>
    <w:rsid w:val="007225CF"/>
    <w:rsid w:val="007227F3"/>
    <w:rsid w:val="00722BDC"/>
    <w:rsid w:val="00724361"/>
    <w:rsid w:val="0072526F"/>
    <w:rsid w:val="00725308"/>
    <w:rsid w:val="00726BCE"/>
    <w:rsid w:val="00730305"/>
    <w:rsid w:val="00730C7D"/>
    <w:rsid w:val="00731E08"/>
    <w:rsid w:val="00735662"/>
    <w:rsid w:val="00735D7C"/>
    <w:rsid w:val="00736BFA"/>
    <w:rsid w:val="0073706D"/>
    <w:rsid w:val="007370A0"/>
    <w:rsid w:val="007373FB"/>
    <w:rsid w:val="00737805"/>
    <w:rsid w:val="00740E3B"/>
    <w:rsid w:val="007418B7"/>
    <w:rsid w:val="007528E9"/>
    <w:rsid w:val="0075359D"/>
    <w:rsid w:val="007539EE"/>
    <w:rsid w:val="00756146"/>
    <w:rsid w:val="00760AA8"/>
    <w:rsid w:val="00761AA7"/>
    <w:rsid w:val="00761B41"/>
    <w:rsid w:val="007653AC"/>
    <w:rsid w:val="00765434"/>
    <w:rsid w:val="007712A3"/>
    <w:rsid w:val="007719DB"/>
    <w:rsid w:val="00773342"/>
    <w:rsid w:val="00775DAA"/>
    <w:rsid w:val="00775E52"/>
    <w:rsid w:val="007775C2"/>
    <w:rsid w:val="0078400F"/>
    <w:rsid w:val="007870F3"/>
    <w:rsid w:val="00787EB8"/>
    <w:rsid w:val="007904E8"/>
    <w:rsid w:val="00794002"/>
    <w:rsid w:val="00794B8E"/>
    <w:rsid w:val="00795F00"/>
    <w:rsid w:val="007A0631"/>
    <w:rsid w:val="007A22F7"/>
    <w:rsid w:val="007A2415"/>
    <w:rsid w:val="007A2915"/>
    <w:rsid w:val="007A2C9D"/>
    <w:rsid w:val="007A4357"/>
    <w:rsid w:val="007A4ACF"/>
    <w:rsid w:val="007A5679"/>
    <w:rsid w:val="007A7931"/>
    <w:rsid w:val="007A7B79"/>
    <w:rsid w:val="007B10A1"/>
    <w:rsid w:val="007B1DCC"/>
    <w:rsid w:val="007B23C0"/>
    <w:rsid w:val="007B796A"/>
    <w:rsid w:val="007C2068"/>
    <w:rsid w:val="007C314E"/>
    <w:rsid w:val="007C336E"/>
    <w:rsid w:val="007C3B0B"/>
    <w:rsid w:val="007C5444"/>
    <w:rsid w:val="007D0D89"/>
    <w:rsid w:val="007D2296"/>
    <w:rsid w:val="007D3B7D"/>
    <w:rsid w:val="007D5C84"/>
    <w:rsid w:val="007D612F"/>
    <w:rsid w:val="007D7250"/>
    <w:rsid w:val="007D7989"/>
    <w:rsid w:val="007D7C1D"/>
    <w:rsid w:val="007E0541"/>
    <w:rsid w:val="007E283B"/>
    <w:rsid w:val="007E4293"/>
    <w:rsid w:val="007E6506"/>
    <w:rsid w:val="007E6630"/>
    <w:rsid w:val="007E74CE"/>
    <w:rsid w:val="007F0DFF"/>
    <w:rsid w:val="007F21E1"/>
    <w:rsid w:val="007F249A"/>
    <w:rsid w:val="007F3998"/>
    <w:rsid w:val="007F49B2"/>
    <w:rsid w:val="007F4BB5"/>
    <w:rsid w:val="007F4CD1"/>
    <w:rsid w:val="007F5F30"/>
    <w:rsid w:val="007F6563"/>
    <w:rsid w:val="008001A5"/>
    <w:rsid w:val="00802DD7"/>
    <w:rsid w:val="00807728"/>
    <w:rsid w:val="00810C20"/>
    <w:rsid w:val="008161B8"/>
    <w:rsid w:val="0082299C"/>
    <w:rsid w:val="00822A85"/>
    <w:rsid w:val="00823264"/>
    <w:rsid w:val="00823721"/>
    <w:rsid w:val="00825EDD"/>
    <w:rsid w:val="00830009"/>
    <w:rsid w:val="00830C15"/>
    <w:rsid w:val="008312AA"/>
    <w:rsid w:val="00832FAA"/>
    <w:rsid w:val="00833BC8"/>
    <w:rsid w:val="00834910"/>
    <w:rsid w:val="008355C2"/>
    <w:rsid w:val="008359C8"/>
    <w:rsid w:val="00835A87"/>
    <w:rsid w:val="00836261"/>
    <w:rsid w:val="0084320C"/>
    <w:rsid w:val="00843501"/>
    <w:rsid w:val="00843D77"/>
    <w:rsid w:val="00844E69"/>
    <w:rsid w:val="008477FE"/>
    <w:rsid w:val="0085229E"/>
    <w:rsid w:val="00852784"/>
    <w:rsid w:val="0085449F"/>
    <w:rsid w:val="00855C78"/>
    <w:rsid w:val="0086371E"/>
    <w:rsid w:val="008640CC"/>
    <w:rsid w:val="008645E3"/>
    <w:rsid w:val="00864828"/>
    <w:rsid w:val="00870743"/>
    <w:rsid w:val="008709B8"/>
    <w:rsid w:val="00872919"/>
    <w:rsid w:val="00872D32"/>
    <w:rsid w:val="00872FF1"/>
    <w:rsid w:val="0087502F"/>
    <w:rsid w:val="00877A34"/>
    <w:rsid w:val="00877A71"/>
    <w:rsid w:val="0088091F"/>
    <w:rsid w:val="0088267B"/>
    <w:rsid w:val="008841B2"/>
    <w:rsid w:val="00884540"/>
    <w:rsid w:val="00886BCA"/>
    <w:rsid w:val="008873F6"/>
    <w:rsid w:val="008940F6"/>
    <w:rsid w:val="00895308"/>
    <w:rsid w:val="00895585"/>
    <w:rsid w:val="008A0618"/>
    <w:rsid w:val="008A53DD"/>
    <w:rsid w:val="008A6A0D"/>
    <w:rsid w:val="008A7B08"/>
    <w:rsid w:val="008B1641"/>
    <w:rsid w:val="008B3B1D"/>
    <w:rsid w:val="008B4601"/>
    <w:rsid w:val="008B6191"/>
    <w:rsid w:val="008B6B17"/>
    <w:rsid w:val="008C140F"/>
    <w:rsid w:val="008C22FB"/>
    <w:rsid w:val="008C2FB2"/>
    <w:rsid w:val="008C380E"/>
    <w:rsid w:val="008D12BF"/>
    <w:rsid w:val="008D243E"/>
    <w:rsid w:val="008D260B"/>
    <w:rsid w:val="008D367F"/>
    <w:rsid w:val="008D43FA"/>
    <w:rsid w:val="008D4793"/>
    <w:rsid w:val="008D4CBD"/>
    <w:rsid w:val="008D5C71"/>
    <w:rsid w:val="008E03EC"/>
    <w:rsid w:val="008E2FCC"/>
    <w:rsid w:val="008E3093"/>
    <w:rsid w:val="008E6C1E"/>
    <w:rsid w:val="008E7B78"/>
    <w:rsid w:val="008F209B"/>
    <w:rsid w:val="008F2FB1"/>
    <w:rsid w:val="008F49CF"/>
    <w:rsid w:val="008F5BDC"/>
    <w:rsid w:val="008F757B"/>
    <w:rsid w:val="009001A0"/>
    <w:rsid w:val="00900828"/>
    <w:rsid w:val="00900D31"/>
    <w:rsid w:val="00903812"/>
    <w:rsid w:val="00904A57"/>
    <w:rsid w:val="00905656"/>
    <w:rsid w:val="00906663"/>
    <w:rsid w:val="00912DB1"/>
    <w:rsid w:val="0091352A"/>
    <w:rsid w:val="00914AA2"/>
    <w:rsid w:val="00915392"/>
    <w:rsid w:val="00916AE4"/>
    <w:rsid w:val="00917E2A"/>
    <w:rsid w:val="00921E52"/>
    <w:rsid w:val="00925E78"/>
    <w:rsid w:val="00926984"/>
    <w:rsid w:val="00930328"/>
    <w:rsid w:val="00931A41"/>
    <w:rsid w:val="009320E3"/>
    <w:rsid w:val="00933915"/>
    <w:rsid w:val="00944CB0"/>
    <w:rsid w:val="0094542E"/>
    <w:rsid w:val="0094585F"/>
    <w:rsid w:val="00946659"/>
    <w:rsid w:val="0095060E"/>
    <w:rsid w:val="009518D2"/>
    <w:rsid w:val="009528F6"/>
    <w:rsid w:val="00953E8A"/>
    <w:rsid w:val="0095441B"/>
    <w:rsid w:val="0096452A"/>
    <w:rsid w:val="00966F4A"/>
    <w:rsid w:val="009674B8"/>
    <w:rsid w:val="00970410"/>
    <w:rsid w:val="00970D43"/>
    <w:rsid w:val="00971CE0"/>
    <w:rsid w:val="00972DFA"/>
    <w:rsid w:val="0097415B"/>
    <w:rsid w:val="00974AE8"/>
    <w:rsid w:val="009805BD"/>
    <w:rsid w:val="0098118D"/>
    <w:rsid w:val="00981E50"/>
    <w:rsid w:val="009827BA"/>
    <w:rsid w:val="00983CCD"/>
    <w:rsid w:val="0098461E"/>
    <w:rsid w:val="00984B52"/>
    <w:rsid w:val="00985076"/>
    <w:rsid w:val="0098586D"/>
    <w:rsid w:val="00987C51"/>
    <w:rsid w:val="00993332"/>
    <w:rsid w:val="00993811"/>
    <w:rsid w:val="0099637D"/>
    <w:rsid w:val="00997723"/>
    <w:rsid w:val="009A3228"/>
    <w:rsid w:val="009A577D"/>
    <w:rsid w:val="009A6CF1"/>
    <w:rsid w:val="009A7C06"/>
    <w:rsid w:val="009B03A5"/>
    <w:rsid w:val="009B0546"/>
    <w:rsid w:val="009B275D"/>
    <w:rsid w:val="009B2E06"/>
    <w:rsid w:val="009B3925"/>
    <w:rsid w:val="009B5167"/>
    <w:rsid w:val="009B6768"/>
    <w:rsid w:val="009B799E"/>
    <w:rsid w:val="009C09F9"/>
    <w:rsid w:val="009C2570"/>
    <w:rsid w:val="009C39F9"/>
    <w:rsid w:val="009C4138"/>
    <w:rsid w:val="009C5356"/>
    <w:rsid w:val="009D0DE8"/>
    <w:rsid w:val="009D16F7"/>
    <w:rsid w:val="009D1EF2"/>
    <w:rsid w:val="009D2867"/>
    <w:rsid w:val="009D2F67"/>
    <w:rsid w:val="009D3454"/>
    <w:rsid w:val="009D3B98"/>
    <w:rsid w:val="009D4F3C"/>
    <w:rsid w:val="009D4F40"/>
    <w:rsid w:val="009E3C87"/>
    <w:rsid w:val="009E46E2"/>
    <w:rsid w:val="009E48F6"/>
    <w:rsid w:val="009E4B0D"/>
    <w:rsid w:val="009E4DB0"/>
    <w:rsid w:val="009E6ADC"/>
    <w:rsid w:val="009E7D17"/>
    <w:rsid w:val="009F05C3"/>
    <w:rsid w:val="009F0CFA"/>
    <w:rsid w:val="009F3242"/>
    <w:rsid w:val="009F3EA5"/>
    <w:rsid w:val="009F4F73"/>
    <w:rsid w:val="009F5A7B"/>
    <w:rsid w:val="00A01CC7"/>
    <w:rsid w:val="00A03B45"/>
    <w:rsid w:val="00A06DC4"/>
    <w:rsid w:val="00A06F4C"/>
    <w:rsid w:val="00A07F13"/>
    <w:rsid w:val="00A12F22"/>
    <w:rsid w:val="00A136B7"/>
    <w:rsid w:val="00A140C4"/>
    <w:rsid w:val="00A160B4"/>
    <w:rsid w:val="00A160EE"/>
    <w:rsid w:val="00A21DD3"/>
    <w:rsid w:val="00A241FD"/>
    <w:rsid w:val="00A25454"/>
    <w:rsid w:val="00A25CE3"/>
    <w:rsid w:val="00A25ECE"/>
    <w:rsid w:val="00A30C29"/>
    <w:rsid w:val="00A3196A"/>
    <w:rsid w:val="00A32B0B"/>
    <w:rsid w:val="00A33B90"/>
    <w:rsid w:val="00A33EF5"/>
    <w:rsid w:val="00A342AC"/>
    <w:rsid w:val="00A34C6A"/>
    <w:rsid w:val="00A3617B"/>
    <w:rsid w:val="00A36BE4"/>
    <w:rsid w:val="00A413C4"/>
    <w:rsid w:val="00A4153B"/>
    <w:rsid w:val="00A428D7"/>
    <w:rsid w:val="00A440B8"/>
    <w:rsid w:val="00A44CF3"/>
    <w:rsid w:val="00A46D24"/>
    <w:rsid w:val="00A47932"/>
    <w:rsid w:val="00A50459"/>
    <w:rsid w:val="00A54292"/>
    <w:rsid w:val="00A54816"/>
    <w:rsid w:val="00A54F47"/>
    <w:rsid w:val="00A554CE"/>
    <w:rsid w:val="00A5593B"/>
    <w:rsid w:val="00A57878"/>
    <w:rsid w:val="00A60F03"/>
    <w:rsid w:val="00A628C2"/>
    <w:rsid w:val="00A65755"/>
    <w:rsid w:val="00A701DD"/>
    <w:rsid w:val="00A72113"/>
    <w:rsid w:val="00A73754"/>
    <w:rsid w:val="00A73802"/>
    <w:rsid w:val="00A73BB0"/>
    <w:rsid w:val="00A740F4"/>
    <w:rsid w:val="00A75CE4"/>
    <w:rsid w:val="00A807C9"/>
    <w:rsid w:val="00A80F69"/>
    <w:rsid w:val="00A819EB"/>
    <w:rsid w:val="00A82603"/>
    <w:rsid w:val="00A8318D"/>
    <w:rsid w:val="00A8375D"/>
    <w:rsid w:val="00A8445B"/>
    <w:rsid w:val="00A8484E"/>
    <w:rsid w:val="00A8639D"/>
    <w:rsid w:val="00A86622"/>
    <w:rsid w:val="00A86628"/>
    <w:rsid w:val="00A87502"/>
    <w:rsid w:val="00A91713"/>
    <w:rsid w:val="00A91C45"/>
    <w:rsid w:val="00A9434D"/>
    <w:rsid w:val="00A9447F"/>
    <w:rsid w:val="00A96FAD"/>
    <w:rsid w:val="00A972A4"/>
    <w:rsid w:val="00A97E8E"/>
    <w:rsid w:val="00AA0677"/>
    <w:rsid w:val="00AA1F7F"/>
    <w:rsid w:val="00AA3945"/>
    <w:rsid w:val="00AB25AB"/>
    <w:rsid w:val="00AB2F33"/>
    <w:rsid w:val="00AB4BED"/>
    <w:rsid w:val="00AB6AC5"/>
    <w:rsid w:val="00AC0157"/>
    <w:rsid w:val="00AC2363"/>
    <w:rsid w:val="00AC5F9D"/>
    <w:rsid w:val="00AC61EC"/>
    <w:rsid w:val="00AC72F0"/>
    <w:rsid w:val="00AC7892"/>
    <w:rsid w:val="00AC791A"/>
    <w:rsid w:val="00AD10FC"/>
    <w:rsid w:val="00AD198A"/>
    <w:rsid w:val="00AD392C"/>
    <w:rsid w:val="00AD7126"/>
    <w:rsid w:val="00AD7C3B"/>
    <w:rsid w:val="00AE05C4"/>
    <w:rsid w:val="00AE59F0"/>
    <w:rsid w:val="00AE6C6D"/>
    <w:rsid w:val="00AF0285"/>
    <w:rsid w:val="00AF23DF"/>
    <w:rsid w:val="00AF34FF"/>
    <w:rsid w:val="00B000DB"/>
    <w:rsid w:val="00B03DAC"/>
    <w:rsid w:val="00B06988"/>
    <w:rsid w:val="00B101AA"/>
    <w:rsid w:val="00B1087F"/>
    <w:rsid w:val="00B11633"/>
    <w:rsid w:val="00B136C8"/>
    <w:rsid w:val="00B1473E"/>
    <w:rsid w:val="00B20EB9"/>
    <w:rsid w:val="00B21A38"/>
    <w:rsid w:val="00B2208A"/>
    <w:rsid w:val="00B25D04"/>
    <w:rsid w:val="00B264B2"/>
    <w:rsid w:val="00B31015"/>
    <w:rsid w:val="00B359F1"/>
    <w:rsid w:val="00B41260"/>
    <w:rsid w:val="00B41A1F"/>
    <w:rsid w:val="00B4316D"/>
    <w:rsid w:val="00B436F2"/>
    <w:rsid w:val="00B442B4"/>
    <w:rsid w:val="00B5290C"/>
    <w:rsid w:val="00B530A0"/>
    <w:rsid w:val="00B579B2"/>
    <w:rsid w:val="00B6175A"/>
    <w:rsid w:val="00B63D83"/>
    <w:rsid w:val="00B65329"/>
    <w:rsid w:val="00B65904"/>
    <w:rsid w:val="00B6620E"/>
    <w:rsid w:val="00B66307"/>
    <w:rsid w:val="00B6725F"/>
    <w:rsid w:val="00B70335"/>
    <w:rsid w:val="00B719F0"/>
    <w:rsid w:val="00B72875"/>
    <w:rsid w:val="00B73041"/>
    <w:rsid w:val="00B745E9"/>
    <w:rsid w:val="00B77ED0"/>
    <w:rsid w:val="00B810A6"/>
    <w:rsid w:val="00B81F48"/>
    <w:rsid w:val="00B830DD"/>
    <w:rsid w:val="00B8325F"/>
    <w:rsid w:val="00B83551"/>
    <w:rsid w:val="00B8672F"/>
    <w:rsid w:val="00B87826"/>
    <w:rsid w:val="00B9065D"/>
    <w:rsid w:val="00B9232D"/>
    <w:rsid w:val="00B923F1"/>
    <w:rsid w:val="00B93AD1"/>
    <w:rsid w:val="00B93FBE"/>
    <w:rsid w:val="00B94763"/>
    <w:rsid w:val="00B96DCE"/>
    <w:rsid w:val="00BA0D4C"/>
    <w:rsid w:val="00BA31AA"/>
    <w:rsid w:val="00BA4230"/>
    <w:rsid w:val="00BA4468"/>
    <w:rsid w:val="00BA4E47"/>
    <w:rsid w:val="00BA5201"/>
    <w:rsid w:val="00BB0F1F"/>
    <w:rsid w:val="00BB11ED"/>
    <w:rsid w:val="00BB1545"/>
    <w:rsid w:val="00BB1802"/>
    <w:rsid w:val="00BB304A"/>
    <w:rsid w:val="00BB3FC9"/>
    <w:rsid w:val="00BB657B"/>
    <w:rsid w:val="00BB7E7F"/>
    <w:rsid w:val="00BC12FE"/>
    <w:rsid w:val="00BC1827"/>
    <w:rsid w:val="00BC2124"/>
    <w:rsid w:val="00BC237F"/>
    <w:rsid w:val="00BC2DA6"/>
    <w:rsid w:val="00BC589A"/>
    <w:rsid w:val="00BC7CFD"/>
    <w:rsid w:val="00BD0868"/>
    <w:rsid w:val="00BD0C51"/>
    <w:rsid w:val="00BD0D25"/>
    <w:rsid w:val="00BD103B"/>
    <w:rsid w:val="00BD2CCE"/>
    <w:rsid w:val="00BD710E"/>
    <w:rsid w:val="00BD75AF"/>
    <w:rsid w:val="00BD7E7E"/>
    <w:rsid w:val="00BE3E96"/>
    <w:rsid w:val="00BE6932"/>
    <w:rsid w:val="00BF0F0A"/>
    <w:rsid w:val="00BF73F0"/>
    <w:rsid w:val="00BF7961"/>
    <w:rsid w:val="00C03748"/>
    <w:rsid w:val="00C04104"/>
    <w:rsid w:val="00C10460"/>
    <w:rsid w:val="00C10AAB"/>
    <w:rsid w:val="00C10F89"/>
    <w:rsid w:val="00C11A9A"/>
    <w:rsid w:val="00C11D3B"/>
    <w:rsid w:val="00C1543B"/>
    <w:rsid w:val="00C16A1C"/>
    <w:rsid w:val="00C20CC5"/>
    <w:rsid w:val="00C212C5"/>
    <w:rsid w:val="00C2134C"/>
    <w:rsid w:val="00C22F45"/>
    <w:rsid w:val="00C23778"/>
    <w:rsid w:val="00C23E09"/>
    <w:rsid w:val="00C33295"/>
    <w:rsid w:val="00C33DD7"/>
    <w:rsid w:val="00C36D69"/>
    <w:rsid w:val="00C406FB"/>
    <w:rsid w:val="00C4100B"/>
    <w:rsid w:val="00C410A5"/>
    <w:rsid w:val="00C431A4"/>
    <w:rsid w:val="00C45EA3"/>
    <w:rsid w:val="00C5036A"/>
    <w:rsid w:val="00C5065A"/>
    <w:rsid w:val="00C509C4"/>
    <w:rsid w:val="00C51F20"/>
    <w:rsid w:val="00C548D1"/>
    <w:rsid w:val="00C56180"/>
    <w:rsid w:val="00C60815"/>
    <w:rsid w:val="00C61DAC"/>
    <w:rsid w:val="00C628C9"/>
    <w:rsid w:val="00C641B3"/>
    <w:rsid w:val="00C6472A"/>
    <w:rsid w:val="00C64EEA"/>
    <w:rsid w:val="00C725F4"/>
    <w:rsid w:val="00C73AAF"/>
    <w:rsid w:val="00C76E7C"/>
    <w:rsid w:val="00C77B22"/>
    <w:rsid w:val="00C81613"/>
    <w:rsid w:val="00C8254E"/>
    <w:rsid w:val="00C83B37"/>
    <w:rsid w:val="00C83EA4"/>
    <w:rsid w:val="00C84B7F"/>
    <w:rsid w:val="00C8520A"/>
    <w:rsid w:val="00C86823"/>
    <w:rsid w:val="00C9098F"/>
    <w:rsid w:val="00C92DB0"/>
    <w:rsid w:val="00C93836"/>
    <w:rsid w:val="00C93EAA"/>
    <w:rsid w:val="00C943C1"/>
    <w:rsid w:val="00C94DCD"/>
    <w:rsid w:val="00C95BD4"/>
    <w:rsid w:val="00C9763D"/>
    <w:rsid w:val="00CA0A12"/>
    <w:rsid w:val="00CA147F"/>
    <w:rsid w:val="00CA4627"/>
    <w:rsid w:val="00CA4B81"/>
    <w:rsid w:val="00CB1303"/>
    <w:rsid w:val="00CB31EC"/>
    <w:rsid w:val="00CB3F0B"/>
    <w:rsid w:val="00CB3F1D"/>
    <w:rsid w:val="00CB6287"/>
    <w:rsid w:val="00CB6A03"/>
    <w:rsid w:val="00CB74C6"/>
    <w:rsid w:val="00CC05F9"/>
    <w:rsid w:val="00CC4171"/>
    <w:rsid w:val="00CC47D6"/>
    <w:rsid w:val="00CC52A0"/>
    <w:rsid w:val="00CC5ABA"/>
    <w:rsid w:val="00CC63CB"/>
    <w:rsid w:val="00CD0663"/>
    <w:rsid w:val="00CD1B13"/>
    <w:rsid w:val="00CD2467"/>
    <w:rsid w:val="00CD4467"/>
    <w:rsid w:val="00CD4DFB"/>
    <w:rsid w:val="00CD4F1D"/>
    <w:rsid w:val="00CD5FE2"/>
    <w:rsid w:val="00CD7CFB"/>
    <w:rsid w:val="00CE0A3C"/>
    <w:rsid w:val="00CE0A64"/>
    <w:rsid w:val="00CE1400"/>
    <w:rsid w:val="00CE1AAF"/>
    <w:rsid w:val="00CE2BFA"/>
    <w:rsid w:val="00CF11A7"/>
    <w:rsid w:val="00CF2786"/>
    <w:rsid w:val="00CF60B5"/>
    <w:rsid w:val="00CF72F4"/>
    <w:rsid w:val="00CF796A"/>
    <w:rsid w:val="00D02A8C"/>
    <w:rsid w:val="00D02F38"/>
    <w:rsid w:val="00D03827"/>
    <w:rsid w:val="00D05DE8"/>
    <w:rsid w:val="00D11AD6"/>
    <w:rsid w:val="00D12B43"/>
    <w:rsid w:val="00D15F46"/>
    <w:rsid w:val="00D16824"/>
    <w:rsid w:val="00D252CB"/>
    <w:rsid w:val="00D31827"/>
    <w:rsid w:val="00D33FB6"/>
    <w:rsid w:val="00D3500F"/>
    <w:rsid w:val="00D35BD2"/>
    <w:rsid w:val="00D371B3"/>
    <w:rsid w:val="00D4119A"/>
    <w:rsid w:val="00D4653F"/>
    <w:rsid w:val="00D476AE"/>
    <w:rsid w:val="00D50F88"/>
    <w:rsid w:val="00D52189"/>
    <w:rsid w:val="00D52AB6"/>
    <w:rsid w:val="00D5391C"/>
    <w:rsid w:val="00D53D1A"/>
    <w:rsid w:val="00D5477A"/>
    <w:rsid w:val="00D55136"/>
    <w:rsid w:val="00D55F3B"/>
    <w:rsid w:val="00D57FDC"/>
    <w:rsid w:val="00D60132"/>
    <w:rsid w:val="00D603D1"/>
    <w:rsid w:val="00D62274"/>
    <w:rsid w:val="00D65089"/>
    <w:rsid w:val="00D6646A"/>
    <w:rsid w:val="00D66893"/>
    <w:rsid w:val="00D7166D"/>
    <w:rsid w:val="00D71C35"/>
    <w:rsid w:val="00D7260D"/>
    <w:rsid w:val="00D739C5"/>
    <w:rsid w:val="00D75E88"/>
    <w:rsid w:val="00D77D17"/>
    <w:rsid w:val="00D80D3B"/>
    <w:rsid w:val="00D827F7"/>
    <w:rsid w:val="00D82BCB"/>
    <w:rsid w:val="00D82D97"/>
    <w:rsid w:val="00D82FF5"/>
    <w:rsid w:val="00D8339E"/>
    <w:rsid w:val="00D83545"/>
    <w:rsid w:val="00D837C9"/>
    <w:rsid w:val="00D855DF"/>
    <w:rsid w:val="00D927BD"/>
    <w:rsid w:val="00D93885"/>
    <w:rsid w:val="00D956E1"/>
    <w:rsid w:val="00D95E4D"/>
    <w:rsid w:val="00D9625C"/>
    <w:rsid w:val="00D965B2"/>
    <w:rsid w:val="00D96CEC"/>
    <w:rsid w:val="00DA151F"/>
    <w:rsid w:val="00DA1AF1"/>
    <w:rsid w:val="00DA2C9F"/>
    <w:rsid w:val="00DA400C"/>
    <w:rsid w:val="00DB0988"/>
    <w:rsid w:val="00DB0DC2"/>
    <w:rsid w:val="00DB1258"/>
    <w:rsid w:val="00DB15B2"/>
    <w:rsid w:val="00DB1DB8"/>
    <w:rsid w:val="00DB38F3"/>
    <w:rsid w:val="00DB602D"/>
    <w:rsid w:val="00DC1120"/>
    <w:rsid w:val="00DC53B9"/>
    <w:rsid w:val="00DC56C8"/>
    <w:rsid w:val="00DD1AAB"/>
    <w:rsid w:val="00DD1BFC"/>
    <w:rsid w:val="00DD1EAE"/>
    <w:rsid w:val="00DD201E"/>
    <w:rsid w:val="00DD3521"/>
    <w:rsid w:val="00DD3C56"/>
    <w:rsid w:val="00DD40BD"/>
    <w:rsid w:val="00DD447F"/>
    <w:rsid w:val="00DD561F"/>
    <w:rsid w:val="00DD5E74"/>
    <w:rsid w:val="00DD6505"/>
    <w:rsid w:val="00DD6ED6"/>
    <w:rsid w:val="00DE26C6"/>
    <w:rsid w:val="00DE341F"/>
    <w:rsid w:val="00DE4B44"/>
    <w:rsid w:val="00DE6323"/>
    <w:rsid w:val="00DF01A2"/>
    <w:rsid w:val="00DF248C"/>
    <w:rsid w:val="00DF2CCC"/>
    <w:rsid w:val="00DF2D15"/>
    <w:rsid w:val="00DF3FD7"/>
    <w:rsid w:val="00E01B02"/>
    <w:rsid w:val="00E01B9A"/>
    <w:rsid w:val="00E03633"/>
    <w:rsid w:val="00E04AB0"/>
    <w:rsid w:val="00E05BD1"/>
    <w:rsid w:val="00E104B7"/>
    <w:rsid w:val="00E10C64"/>
    <w:rsid w:val="00E10FFC"/>
    <w:rsid w:val="00E1127A"/>
    <w:rsid w:val="00E1287E"/>
    <w:rsid w:val="00E12D9B"/>
    <w:rsid w:val="00E1656E"/>
    <w:rsid w:val="00E16791"/>
    <w:rsid w:val="00E208BC"/>
    <w:rsid w:val="00E20EBA"/>
    <w:rsid w:val="00E229C3"/>
    <w:rsid w:val="00E259F4"/>
    <w:rsid w:val="00E261A3"/>
    <w:rsid w:val="00E27E25"/>
    <w:rsid w:val="00E304DD"/>
    <w:rsid w:val="00E31F06"/>
    <w:rsid w:val="00E34732"/>
    <w:rsid w:val="00E363DC"/>
    <w:rsid w:val="00E36500"/>
    <w:rsid w:val="00E37BA9"/>
    <w:rsid w:val="00E37EF1"/>
    <w:rsid w:val="00E401FF"/>
    <w:rsid w:val="00E4156C"/>
    <w:rsid w:val="00E43545"/>
    <w:rsid w:val="00E43BA3"/>
    <w:rsid w:val="00E43EF7"/>
    <w:rsid w:val="00E448E2"/>
    <w:rsid w:val="00E474E8"/>
    <w:rsid w:val="00E477A0"/>
    <w:rsid w:val="00E521F7"/>
    <w:rsid w:val="00E536CE"/>
    <w:rsid w:val="00E546CB"/>
    <w:rsid w:val="00E54AE1"/>
    <w:rsid w:val="00E54D2E"/>
    <w:rsid w:val="00E54E09"/>
    <w:rsid w:val="00E55FC6"/>
    <w:rsid w:val="00E56A64"/>
    <w:rsid w:val="00E61144"/>
    <w:rsid w:val="00E6151E"/>
    <w:rsid w:val="00E62860"/>
    <w:rsid w:val="00E63ECB"/>
    <w:rsid w:val="00E651ED"/>
    <w:rsid w:val="00E70D5B"/>
    <w:rsid w:val="00E712F4"/>
    <w:rsid w:val="00E71BA6"/>
    <w:rsid w:val="00E720F1"/>
    <w:rsid w:val="00E7275C"/>
    <w:rsid w:val="00E7327D"/>
    <w:rsid w:val="00E7368F"/>
    <w:rsid w:val="00E762FE"/>
    <w:rsid w:val="00E77E73"/>
    <w:rsid w:val="00E813AA"/>
    <w:rsid w:val="00E827C3"/>
    <w:rsid w:val="00E83171"/>
    <w:rsid w:val="00E83B4B"/>
    <w:rsid w:val="00E83E02"/>
    <w:rsid w:val="00E8442D"/>
    <w:rsid w:val="00E86983"/>
    <w:rsid w:val="00E87E5C"/>
    <w:rsid w:val="00E9012F"/>
    <w:rsid w:val="00E91EF3"/>
    <w:rsid w:val="00E92A30"/>
    <w:rsid w:val="00E9507D"/>
    <w:rsid w:val="00E95209"/>
    <w:rsid w:val="00E95B57"/>
    <w:rsid w:val="00E9684F"/>
    <w:rsid w:val="00E972E7"/>
    <w:rsid w:val="00E9750D"/>
    <w:rsid w:val="00E97541"/>
    <w:rsid w:val="00EA0959"/>
    <w:rsid w:val="00EA0B6A"/>
    <w:rsid w:val="00EA145B"/>
    <w:rsid w:val="00EA567C"/>
    <w:rsid w:val="00EA64A1"/>
    <w:rsid w:val="00EA7C2A"/>
    <w:rsid w:val="00EB18D9"/>
    <w:rsid w:val="00EB2758"/>
    <w:rsid w:val="00EB47AC"/>
    <w:rsid w:val="00EB66A6"/>
    <w:rsid w:val="00EC070F"/>
    <w:rsid w:val="00EC227A"/>
    <w:rsid w:val="00EC2C66"/>
    <w:rsid w:val="00EC3073"/>
    <w:rsid w:val="00EC3534"/>
    <w:rsid w:val="00EC3933"/>
    <w:rsid w:val="00EC5BAB"/>
    <w:rsid w:val="00EC65A3"/>
    <w:rsid w:val="00EC6C0A"/>
    <w:rsid w:val="00ED01AE"/>
    <w:rsid w:val="00ED2C5C"/>
    <w:rsid w:val="00ED34A3"/>
    <w:rsid w:val="00ED5A96"/>
    <w:rsid w:val="00ED7C80"/>
    <w:rsid w:val="00EE00D1"/>
    <w:rsid w:val="00EE1193"/>
    <w:rsid w:val="00EE1C34"/>
    <w:rsid w:val="00EE1D22"/>
    <w:rsid w:val="00EF08C5"/>
    <w:rsid w:val="00EF0906"/>
    <w:rsid w:val="00EF1FE1"/>
    <w:rsid w:val="00EF4595"/>
    <w:rsid w:val="00EF5176"/>
    <w:rsid w:val="00EF6E57"/>
    <w:rsid w:val="00EF76C7"/>
    <w:rsid w:val="00F006D1"/>
    <w:rsid w:val="00F019C8"/>
    <w:rsid w:val="00F029E6"/>
    <w:rsid w:val="00F02A74"/>
    <w:rsid w:val="00F02E93"/>
    <w:rsid w:val="00F0515B"/>
    <w:rsid w:val="00F06641"/>
    <w:rsid w:val="00F06667"/>
    <w:rsid w:val="00F076E0"/>
    <w:rsid w:val="00F07CF8"/>
    <w:rsid w:val="00F109FC"/>
    <w:rsid w:val="00F10C91"/>
    <w:rsid w:val="00F1448F"/>
    <w:rsid w:val="00F17569"/>
    <w:rsid w:val="00F208BE"/>
    <w:rsid w:val="00F21282"/>
    <w:rsid w:val="00F213E9"/>
    <w:rsid w:val="00F22079"/>
    <w:rsid w:val="00F23924"/>
    <w:rsid w:val="00F23B64"/>
    <w:rsid w:val="00F310F7"/>
    <w:rsid w:val="00F330B0"/>
    <w:rsid w:val="00F3344A"/>
    <w:rsid w:val="00F33775"/>
    <w:rsid w:val="00F337A5"/>
    <w:rsid w:val="00F338B6"/>
    <w:rsid w:val="00F346D4"/>
    <w:rsid w:val="00F34B84"/>
    <w:rsid w:val="00F36AE4"/>
    <w:rsid w:val="00F37382"/>
    <w:rsid w:val="00F40BC4"/>
    <w:rsid w:val="00F40E01"/>
    <w:rsid w:val="00F434C5"/>
    <w:rsid w:val="00F474EC"/>
    <w:rsid w:val="00F50B81"/>
    <w:rsid w:val="00F51E2F"/>
    <w:rsid w:val="00F5392C"/>
    <w:rsid w:val="00F53C3C"/>
    <w:rsid w:val="00F62FF1"/>
    <w:rsid w:val="00F631D8"/>
    <w:rsid w:val="00F64CE9"/>
    <w:rsid w:val="00F65A51"/>
    <w:rsid w:val="00F70FBD"/>
    <w:rsid w:val="00F74091"/>
    <w:rsid w:val="00F76CBF"/>
    <w:rsid w:val="00F8108F"/>
    <w:rsid w:val="00F81B18"/>
    <w:rsid w:val="00F84569"/>
    <w:rsid w:val="00F84A7C"/>
    <w:rsid w:val="00F864D5"/>
    <w:rsid w:val="00F92BD4"/>
    <w:rsid w:val="00F932DA"/>
    <w:rsid w:val="00F95AF5"/>
    <w:rsid w:val="00F977F5"/>
    <w:rsid w:val="00FA0B9D"/>
    <w:rsid w:val="00FA1C5D"/>
    <w:rsid w:val="00FA32B8"/>
    <w:rsid w:val="00FA56D9"/>
    <w:rsid w:val="00FB2F46"/>
    <w:rsid w:val="00FB6E8F"/>
    <w:rsid w:val="00FB7D4A"/>
    <w:rsid w:val="00FC4560"/>
    <w:rsid w:val="00FC609F"/>
    <w:rsid w:val="00FC7800"/>
    <w:rsid w:val="00FC79B0"/>
    <w:rsid w:val="00FD1CDF"/>
    <w:rsid w:val="00FD26DB"/>
    <w:rsid w:val="00FD7720"/>
    <w:rsid w:val="00FE0051"/>
    <w:rsid w:val="00FE4D81"/>
    <w:rsid w:val="00FE5EF5"/>
    <w:rsid w:val="00FE6C37"/>
    <w:rsid w:val="00FE7B45"/>
    <w:rsid w:val="00FF07C2"/>
    <w:rsid w:val="00FF0DD8"/>
    <w:rsid w:val="00FF0F70"/>
    <w:rsid w:val="00FF1930"/>
    <w:rsid w:val="00FF2724"/>
    <w:rsid w:val="00FF2828"/>
    <w:rsid w:val="00FF4196"/>
    <w:rsid w:val="00FF4624"/>
    <w:rsid w:val="00FF56EB"/>
    <w:rsid w:val="00FF63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26C1669"/>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 w:type="table" w:styleId="TableGrid">
    <w:name w:val="Table Grid"/>
    <w:basedOn w:val="TableNormal"/>
    <w:rsid w:val="00B86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368F"/>
    <w:rPr>
      <w:rFonts w:ascii="Arial" w:hAnsi="Arial"/>
      <w:sz w:val="24"/>
      <w:szCs w:val="24"/>
    </w:rPr>
  </w:style>
  <w:style w:type="paragraph" w:styleId="FootnoteText">
    <w:name w:val="footnote text"/>
    <w:basedOn w:val="Normal"/>
    <w:link w:val="FootnoteTextChar"/>
    <w:semiHidden/>
    <w:unhideWhenUsed/>
    <w:rsid w:val="00974AE8"/>
    <w:pPr>
      <w:spacing w:before="0" w:after="0"/>
    </w:pPr>
    <w:rPr>
      <w:sz w:val="20"/>
      <w:szCs w:val="20"/>
    </w:rPr>
  </w:style>
  <w:style w:type="character" w:customStyle="1" w:styleId="FootnoteTextChar">
    <w:name w:val="Footnote Text Char"/>
    <w:basedOn w:val="DefaultParagraphFont"/>
    <w:link w:val="FootnoteText"/>
    <w:semiHidden/>
    <w:rsid w:val="00974AE8"/>
    <w:rPr>
      <w:rFonts w:ascii="Arial" w:hAnsi="Arial"/>
    </w:rPr>
  </w:style>
  <w:style w:type="character" w:styleId="FootnoteReference">
    <w:name w:val="footnote reference"/>
    <w:basedOn w:val="DefaultParagraphFont"/>
    <w:semiHidden/>
    <w:unhideWhenUsed/>
    <w:rsid w:val="00974AE8"/>
    <w:rPr>
      <w:vertAlign w:val="superscript"/>
    </w:rPr>
  </w:style>
  <w:style w:type="character" w:customStyle="1" w:styleId="FooterChar">
    <w:name w:val="Footer Char"/>
    <w:basedOn w:val="DefaultParagraphFont"/>
    <w:link w:val="Footer"/>
    <w:uiPriority w:val="99"/>
    <w:rsid w:val="008F5BDC"/>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328">
      <w:bodyDiv w:val="1"/>
      <w:marLeft w:val="0"/>
      <w:marRight w:val="0"/>
      <w:marTop w:val="0"/>
      <w:marBottom w:val="0"/>
      <w:divBdr>
        <w:top w:val="none" w:sz="0" w:space="0" w:color="auto"/>
        <w:left w:val="none" w:sz="0" w:space="0" w:color="auto"/>
        <w:bottom w:val="none" w:sz="0" w:space="0" w:color="auto"/>
        <w:right w:val="none" w:sz="0" w:space="0" w:color="auto"/>
      </w:divBdr>
    </w:div>
    <w:div w:id="206920356">
      <w:bodyDiv w:val="1"/>
      <w:marLeft w:val="0"/>
      <w:marRight w:val="0"/>
      <w:marTop w:val="0"/>
      <w:marBottom w:val="0"/>
      <w:divBdr>
        <w:top w:val="none" w:sz="0" w:space="0" w:color="auto"/>
        <w:left w:val="none" w:sz="0" w:space="0" w:color="auto"/>
        <w:bottom w:val="none" w:sz="0" w:space="0" w:color="auto"/>
        <w:right w:val="none" w:sz="0" w:space="0" w:color="auto"/>
      </w:divBdr>
    </w:div>
    <w:div w:id="266817493">
      <w:bodyDiv w:val="1"/>
      <w:marLeft w:val="0"/>
      <w:marRight w:val="0"/>
      <w:marTop w:val="0"/>
      <w:marBottom w:val="0"/>
      <w:divBdr>
        <w:top w:val="none" w:sz="0" w:space="0" w:color="auto"/>
        <w:left w:val="none" w:sz="0" w:space="0" w:color="auto"/>
        <w:bottom w:val="none" w:sz="0" w:space="0" w:color="auto"/>
        <w:right w:val="none" w:sz="0" w:space="0" w:color="auto"/>
      </w:divBdr>
    </w:div>
    <w:div w:id="288053662">
      <w:bodyDiv w:val="1"/>
      <w:marLeft w:val="0"/>
      <w:marRight w:val="0"/>
      <w:marTop w:val="0"/>
      <w:marBottom w:val="0"/>
      <w:divBdr>
        <w:top w:val="none" w:sz="0" w:space="0" w:color="auto"/>
        <w:left w:val="none" w:sz="0" w:space="0" w:color="auto"/>
        <w:bottom w:val="none" w:sz="0" w:space="0" w:color="auto"/>
        <w:right w:val="none" w:sz="0" w:space="0" w:color="auto"/>
      </w:divBdr>
    </w:div>
    <w:div w:id="305555013">
      <w:bodyDiv w:val="1"/>
      <w:marLeft w:val="0"/>
      <w:marRight w:val="0"/>
      <w:marTop w:val="0"/>
      <w:marBottom w:val="0"/>
      <w:divBdr>
        <w:top w:val="none" w:sz="0" w:space="0" w:color="auto"/>
        <w:left w:val="none" w:sz="0" w:space="0" w:color="auto"/>
        <w:bottom w:val="none" w:sz="0" w:space="0" w:color="auto"/>
        <w:right w:val="none" w:sz="0" w:space="0" w:color="auto"/>
      </w:divBdr>
    </w:div>
    <w:div w:id="383141603">
      <w:bodyDiv w:val="1"/>
      <w:marLeft w:val="0"/>
      <w:marRight w:val="0"/>
      <w:marTop w:val="0"/>
      <w:marBottom w:val="0"/>
      <w:divBdr>
        <w:top w:val="none" w:sz="0" w:space="0" w:color="auto"/>
        <w:left w:val="none" w:sz="0" w:space="0" w:color="auto"/>
        <w:bottom w:val="none" w:sz="0" w:space="0" w:color="auto"/>
        <w:right w:val="none" w:sz="0" w:space="0" w:color="auto"/>
      </w:divBdr>
    </w:div>
    <w:div w:id="535657066">
      <w:bodyDiv w:val="1"/>
      <w:marLeft w:val="0"/>
      <w:marRight w:val="0"/>
      <w:marTop w:val="0"/>
      <w:marBottom w:val="0"/>
      <w:divBdr>
        <w:top w:val="none" w:sz="0" w:space="0" w:color="auto"/>
        <w:left w:val="none" w:sz="0" w:space="0" w:color="auto"/>
        <w:bottom w:val="none" w:sz="0" w:space="0" w:color="auto"/>
        <w:right w:val="none" w:sz="0" w:space="0" w:color="auto"/>
      </w:divBdr>
    </w:div>
    <w:div w:id="580219205">
      <w:bodyDiv w:val="1"/>
      <w:marLeft w:val="0"/>
      <w:marRight w:val="0"/>
      <w:marTop w:val="0"/>
      <w:marBottom w:val="0"/>
      <w:divBdr>
        <w:top w:val="none" w:sz="0" w:space="0" w:color="auto"/>
        <w:left w:val="none" w:sz="0" w:space="0" w:color="auto"/>
        <w:bottom w:val="none" w:sz="0" w:space="0" w:color="auto"/>
        <w:right w:val="none" w:sz="0" w:space="0" w:color="auto"/>
      </w:divBdr>
    </w:div>
    <w:div w:id="591085222">
      <w:bodyDiv w:val="1"/>
      <w:marLeft w:val="0"/>
      <w:marRight w:val="0"/>
      <w:marTop w:val="0"/>
      <w:marBottom w:val="0"/>
      <w:divBdr>
        <w:top w:val="none" w:sz="0" w:space="0" w:color="auto"/>
        <w:left w:val="none" w:sz="0" w:space="0" w:color="auto"/>
        <w:bottom w:val="none" w:sz="0" w:space="0" w:color="auto"/>
        <w:right w:val="none" w:sz="0" w:space="0" w:color="auto"/>
      </w:divBdr>
    </w:div>
    <w:div w:id="967398367">
      <w:bodyDiv w:val="1"/>
      <w:marLeft w:val="0"/>
      <w:marRight w:val="0"/>
      <w:marTop w:val="0"/>
      <w:marBottom w:val="0"/>
      <w:divBdr>
        <w:top w:val="none" w:sz="0" w:space="0" w:color="auto"/>
        <w:left w:val="none" w:sz="0" w:space="0" w:color="auto"/>
        <w:bottom w:val="none" w:sz="0" w:space="0" w:color="auto"/>
        <w:right w:val="none" w:sz="0" w:space="0" w:color="auto"/>
      </w:divBdr>
    </w:div>
    <w:div w:id="1022171603">
      <w:bodyDiv w:val="1"/>
      <w:marLeft w:val="0"/>
      <w:marRight w:val="0"/>
      <w:marTop w:val="0"/>
      <w:marBottom w:val="0"/>
      <w:divBdr>
        <w:top w:val="none" w:sz="0" w:space="0" w:color="auto"/>
        <w:left w:val="none" w:sz="0" w:space="0" w:color="auto"/>
        <w:bottom w:val="none" w:sz="0" w:space="0" w:color="auto"/>
        <w:right w:val="none" w:sz="0" w:space="0" w:color="auto"/>
      </w:divBdr>
    </w:div>
    <w:div w:id="1093207288">
      <w:bodyDiv w:val="1"/>
      <w:marLeft w:val="0"/>
      <w:marRight w:val="0"/>
      <w:marTop w:val="0"/>
      <w:marBottom w:val="0"/>
      <w:divBdr>
        <w:top w:val="none" w:sz="0" w:space="0" w:color="auto"/>
        <w:left w:val="none" w:sz="0" w:space="0" w:color="auto"/>
        <w:bottom w:val="none" w:sz="0" w:space="0" w:color="auto"/>
        <w:right w:val="none" w:sz="0" w:space="0" w:color="auto"/>
      </w:divBdr>
    </w:div>
    <w:div w:id="1132409635">
      <w:bodyDiv w:val="1"/>
      <w:marLeft w:val="0"/>
      <w:marRight w:val="0"/>
      <w:marTop w:val="0"/>
      <w:marBottom w:val="0"/>
      <w:divBdr>
        <w:top w:val="none" w:sz="0" w:space="0" w:color="auto"/>
        <w:left w:val="none" w:sz="0" w:space="0" w:color="auto"/>
        <w:bottom w:val="none" w:sz="0" w:space="0" w:color="auto"/>
        <w:right w:val="none" w:sz="0" w:space="0" w:color="auto"/>
      </w:divBdr>
    </w:div>
    <w:div w:id="1156189196">
      <w:bodyDiv w:val="1"/>
      <w:marLeft w:val="0"/>
      <w:marRight w:val="0"/>
      <w:marTop w:val="0"/>
      <w:marBottom w:val="0"/>
      <w:divBdr>
        <w:top w:val="none" w:sz="0" w:space="0" w:color="auto"/>
        <w:left w:val="none" w:sz="0" w:space="0" w:color="auto"/>
        <w:bottom w:val="none" w:sz="0" w:space="0" w:color="auto"/>
        <w:right w:val="none" w:sz="0" w:space="0" w:color="auto"/>
      </w:divBdr>
    </w:div>
    <w:div w:id="1363364125">
      <w:bodyDiv w:val="1"/>
      <w:marLeft w:val="0"/>
      <w:marRight w:val="0"/>
      <w:marTop w:val="0"/>
      <w:marBottom w:val="0"/>
      <w:divBdr>
        <w:top w:val="none" w:sz="0" w:space="0" w:color="auto"/>
        <w:left w:val="none" w:sz="0" w:space="0" w:color="auto"/>
        <w:bottom w:val="none" w:sz="0" w:space="0" w:color="auto"/>
        <w:right w:val="none" w:sz="0" w:space="0" w:color="auto"/>
      </w:divBdr>
    </w:div>
    <w:div w:id="1381057452">
      <w:bodyDiv w:val="1"/>
      <w:marLeft w:val="0"/>
      <w:marRight w:val="0"/>
      <w:marTop w:val="0"/>
      <w:marBottom w:val="0"/>
      <w:divBdr>
        <w:top w:val="none" w:sz="0" w:space="0" w:color="auto"/>
        <w:left w:val="none" w:sz="0" w:space="0" w:color="auto"/>
        <w:bottom w:val="none" w:sz="0" w:space="0" w:color="auto"/>
        <w:right w:val="none" w:sz="0" w:space="0" w:color="auto"/>
      </w:divBdr>
    </w:div>
    <w:div w:id="1471702971">
      <w:bodyDiv w:val="1"/>
      <w:marLeft w:val="0"/>
      <w:marRight w:val="0"/>
      <w:marTop w:val="0"/>
      <w:marBottom w:val="0"/>
      <w:divBdr>
        <w:top w:val="none" w:sz="0" w:space="0" w:color="auto"/>
        <w:left w:val="none" w:sz="0" w:space="0" w:color="auto"/>
        <w:bottom w:val="none" w:sz="0" w:space="0" w:color="auto"/>
        <w:right w:val="none" w:sz="0" w:space="0" w:color="auto"/>
      </w:divBdr>
    </w:div>
    <w:div w:id="1528368188">
      <w:bodyDiv w:val="1"/>
      <w:marLeft w:val="0"/>
      <w:marRight w:val="0"/>
      <w:marTop w:val="0"/>
      <w:marBottom w:val="0"/>
      <w:divBdr>
        <w:top w:val="none" w:sz="0" w:space="0" w:color="auto"/>
        <w:left w:val="none" w:sz="0" w:space="0" w:color="auto"/>
        <w:bottom w:val="none" w:sz="0" w:space="0" w:color="auto"/>
        <w:right w:val="none" w:sz="0" w:space="0" w:color="auto"/>
      </w:divBdr>
    </w:div>
    <w:div w:id="1611477113">
      <w:bodyDiv w:val="1"/>
      <w:marLeft w:val="0"/>
      <w:marRight w:val="0"/>
      <w:marTop w:val="0"/>
      <w:marBottom w:val="0"/>
      <w:divBdr>
        <w:top w:val="none" w:sz="0" w:space="0" w:color="auto"/>
        <w:left w:val="none" w:sz="0" w:space="0" w:color="auto"/>
        <w:bottom w:val="none" w:sz="0" w:space="0" w:color="auto"/>
        <w:right w:val="none" w:sz="0" w:space="0" w:color="auto"/>
      </w:divBdr>
    </w:div>
    <w:div w:id="1671373673">
      <w:bodyDiv w:val="1"/>
      <w:marLeft w:val="0"/>
      <w:marRight w:val="0"/>
      <w:marTop w:val="0"/>
      <w:marBottom w:val="0"/>
      <w:divBdr>
        <w:top w:val="none" w:sz="0" w:space="0" w:color="auto"/>
        <w:left w:val="none" w:sz="0" w:space="0" w:color="auto"/>
        <w:bottom w:val="none" w:sz="0" w:space="0" w:color="auto"/>
        <w:right w:val="none" w:sz="0" w:space="0" w:color="auto"/>
      </w:divBdr>
    </w:div>
    <w:div w:id="1780837946">
      <w:bodyDiv w:val="1"/>
      <w:marLeft w:val="0"/>
      <w:marRight w:val="0"/>
      <w:marTop w:val="0"/>
      <w:marBottom w:val="0"/>
      <w:divBdr>
        <w:top w:val="none" w:sz="0" w:space="0" w:color="auto"/>
        <w:left w:val="none" w:sz="0" w:space="0" w:color="auto"/>
        <w:bottom w:val="none" w:sz="0" w:space="0" w:color="auto"/>
        <w:right w:val="none" w:sz="0" w:space="0" w:color="auto"/>
      </w:divBdr>
    </w:div>
    <w:div w:id="1950425659">
      <w:bodyDiv w:val="1"/>
      <w:marLeft w:val="0"/>
      <w:marRight w:val="0"/>
      <w:marTop w:val="0"/>
      <w:marBottom w:val="0"/>
      <w:divBdr>
        <w:top w:val="none" w:sz="0" w:space="0" w:color="auto"/>
        <w:left w:val="none" w:sz="0" w:space="0" w:color="auto"/>
        <w:bottom w:val="none" w:sz="0" w:space="0" w:color="auto"/>
        <w:right w:val="none" w:sz="0" w:space="0" w:color="auto"/>
      </w:divBdr>
    </w:div>
    <w:div w:id="2029329919">
      <w:bodyDiv w:val="1"/>
      <w:marLeft w:val="0"/>
      <w:marRight w:val="0"/>
      <w:marTop w:val="0"/>
      <w:marBottom w:val="0"/>
      <w:divBdr>
        <w:top w:val="none" w:sz="0" w:space="0" w:color="auto"/>
        <w:left w:val="none" w:sz="0" w:space="0" w:color="auto"/>
        <w:bottom w:val="none" w:sz="0" w:space="0" w:color="auto"/>
        <w:right w:val="none" w:sz="0" w:space="0" w:color="auto"/>
      </w:divBdr>
    </w:div>
    <w:div w:id="2057048457">
      <w:bodyDiv w:val="1"/>
      <w:marLeft w:val="0"/>
      <w:marRight w:val="0"/>
      <w:marTop w:val="0"/>
      <w:marBottom w:val="0"/>
      <w:divBdr>
        <w:top w:val="none" w:sz="0" w:space="0" w:color="auto"/>
        <w:left w:val="none" w:sz="0" w:space="0" w:color="auto"/>
        <w:bottom w:val="none" w:sz="0" w:space="0" w:color="auto"/>
        <w:right w:val="none" w:sz="0" w:space="0" w:color="auto"/>
      </w:divBdr>
    </w:div>
    <w:div w:id="21048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5.emf"/><Relationship Id="rId39" Type="http://schemas.openxmlformats.org/officeDocument/2006/relationships/footer" Target="footer1.xml"/><Relationship Id="rId21" Type="http://schemas.openxmlformats.org/officeDocument/2006/relationships/image" Target="media/image12.png"/><Relationship Id="rId34" Type="http://schemas.openxmlformats.org/officeDocument/2006/relationships/hyperlink" Target="https://www.facs.nsw.gov.au/resources/statistics/rent-and-sales/dashboard" TargetMode="Externa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chart" Target="charts/chart3.xml"/><Relationship Id="rId29" Type="http://schemas.openxmlformats.org/officeDocument/2006/relationships/image" Target="media/image17.e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hart" Target="charts/chart4.xml"/><Relationship Id="rId32" Type="http://schemas.openxmlformats.org/officeDocument/2006/relationships/image" Target="media/image20.emf"/><Relationship Id="rId37" Type="http://schemas.openxmlformats.org/officeDocument/2006/relationships/hyperlink" Target="https://sgsep.com.au/projects/rental-affordability-inde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chart" Target="charts/chart6.xml"/><Relationship Id="rId36" Type="http://schemas.openxmlformats.org/officeDocument/2006/relationships/hyperlink" Target="https://www.reinsw.com.au/Web/Web/Members/Property_data/Vacancy_Rates_Survey.aspx" TargetMode="External"/><Relationship Id="rId10" Type="http://schemas.openxmlformats.org/officeDocument/2006/relationships/image" Target="media/image3.emf"/><Relationship Id="rId19" Type="http://schemas.openxmlformats.org/officeDocument/2006/relationships/chart" Target="charts/chart2.xml"/><Relationship Id="rId31" Type="http://schemas.openxmlformats.org/officeDocument/2006/relationships/image" Target="media/image19.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image" Target="media/image16.emf"/><Relationship Id="rId30" Type="http://schemas.openxmlformats.org/officeDocument/2006/relationships/image" Target="media/image18.png"/><Relationship Id="rId35" Type="http://schemas.openxmlformats.org/officeDocument/2006/relationships/hyperlink" Target="https://www.facs.nsw.gov.au/resources/nsw-local-government-housing-kit/chapters/local-government-housing-kit-database" TargetMode="External"/><Relationship Id="rId8" Type="http://schemas.openxmlformats.org/officeDocument/2006/relationships/chart" Target="charts/chart1.xml"/><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chart" Target="charts/chart5.xml"/><Relationship Id="rId33" Type="http://schemas.openxmlformats.org/officeDocument/2006/relationships/image" Target="media/image21.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2.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IZLINK\DHS\HNSW\DOH\ASH\DIV1\UNITS\CAPMH\TEAM\PMP\CAH%20-%20CentreforAffordableHousing\Statistics\Housing%20Snapshots\2020%20data\Housing%20Snapshots%20-%20Regional%20NSW%20data\Central%20Coast\2021%20Central%20Coast%20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oleObject" Target="file:///\\BIZLINK\DHS\HNSW\DOH\ASH\DIV1\UNITS\CAPMH\TEAM\PMP\CAH%20-%20CentreforAffordableHousing\Statistics\Housing%20Snapshots\2020%20data\Housing%20Snapshots%20-%20Regional%20NSW%20data\Central%20Coast\2021%20Central%20Coast%20tab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Median rents all dwellings Central</a:t>
            </a:r>
            <a:r>
              <a:rPr lang="en-AU" b="1" baseline="0"/>
              <a:t> Coast 1990 to 2022</a:t>
            </a:r>
            <a:endParaRPr lang="en-A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Rents!$A$3</c:f>
              <c:strCache>
                <c:ptCount val="1"/>
                <c:pt idx="0">
                  <c:v>Gosford</c:v>
                </c:pt>
              </c:strCache>
            </c:strRef>
          </c:tx>
          <c:spPr>
            <a:ln w="28575" cap="rnd">
              <a:solidFill>
                <a:srgbClr val="CC66FF"/>
              </a:solidFill>
              <a:round/>
            </a:ln>
            <a:effectLst/>
          </c:spPr>
          <c:marker>
            <c:symbol val="none"/>
          </c:marker>
          <c:cat>
            <c:strRef>
              <c:f>Rents!$B$2:$AH$2</c:f>
              <c:strCache>
                <c:ptCount val="33"/>
                <c:pt idx="0">
                  <c:v>Jun-90</c:v>
                </c:pt>
                <c:pt idx="1">
                  <c:v>Jun-91</c:v>
                </c:pt>
                <c:pt idx="2">
                  <c:v>Jun-92</c:v>
                </c:pt>
                <c:pt idx="3">
                  <c:v>Jun-93</c:v>
                </c:pt>
                <c:pt idx="4">
                  <c:v>Jun-94</c:v>
                </c:pt>
                <c:pt idx="5">
                  <c:v>Jun-95</c:v>
                </c:pt>
                <c:pt idx="6">
                  <c:v>Jun-96</c:v>
                </c:pt>
                <c:pt idx="7">
                  <c:v>Jun-97</c:v>
                </c:pt>
                <c:pt idx="8">
                  <c:v>Jun-98</c:v>
                </c:pt>
                <c:pt idx="9">
                  <c:v>Jun-99</c:v>
                </c:pt>
                <c:pt idx="10">
                  <c:v>Jun-00</c:v>
                </c:pt>
                <c:pt idx="11">
                  <c:v>Jun-01</c:v>
                </c:pt>
                <c:pt idx="12">
                  <c:v>Jun-02</c:v>
                </c:pt>
                <c:pt idx="13">
                  <c:v>Jun-03</c:v>
                </c:pt>
                <c:pt idx="14">
                  <c:v>Jun-04</c:v>
                </c:pt>
                <c:pt idx="15">
                  <c:v>Jun-05</c:v>
                </c:pt>
                <c:pt idx="16">
                  <c:v>Jun-06</c:v>
                </c:pt>
                <c:pt idx="17">
                  <c:v>Jun-07</c:v>
                </c:pt>
                <c:pt idx="18">
                  <c:v>Jun-08</c:v>
                </c:pt>
                <c:pt idx="19">
                  <c:v>Jun-09</c:v>
                </c:pt>
                <c:pt idx="20">
                  <c:v>Jun-10</c:v>
                </c:pt>
                <c:pt idx="21">
                  <c:v>Jun-11</c:v>
                </c:pt>
                <c:pt idx="22">
                  <c:v>Jun-12</c:v>
                </c:pt>
                <c:pt idx="23">
                  <c:v>Jun-13</c:v>
                </c:pt>
                <c:pt idx="24">
                  <c:v>Jun-14</c:v>
                </c:pt>
                <c:pt idx="25">
                  <c:v>Jun-15</c:v>
                </c:pt>
                <c:pt idx="26">
                  <c:v>Jun-16</c:v>
                </c:pt>
                <c:pt idx="27">
                  <c:v>Jun-17</c:v>
                </c:pt>
                <c:pt idx="28">
                  <c:v>Jun-18</c:v>
                </c:pt>
                <c:pt idx="29">
                  <c:v>Jun-19</c:v>
                </c:pt>
                <c:pt idx="30">
                  <c:v>Jun-20</c:v>
                </c:pt>
                <c:pt idx="31">
                  <c:v>Jun-21</c:v>
                </c:pt>
                <c:pt idx="32">
                  <c:v>Jun-22</c:v>
                </c:pt>
              </c:strCache>
            </c:strRef>
          </c:cat>
          <c:val>
            <c:numRef>
              <c:f>Rents!$B$3:$AH$3</c:f>
              <c:numCache>
                <c:formatCode>#,##0</c:formatCode>
                <c:ptCount val="33"/>
                <c:pt idx="0">
                  <c:v>150</c:v>
                </c:pt>
                <c:pt idx="1">
                  <c:v>155</c:v>
                </c:pt>
                <c:pt idx="2">
                  <c:v>160</c:v>
                </c:pt>
                <c:pt idx="3">
                  <c:v>160</c:v>
                </c:pt>
                <c:pt idx="4">
                  <c:v>160</c:v>
                </c:pt>
                <c:pt idx="5">
                  <c:v>165</c:v>
                </c:pt>
                <c:pt idx="6">
                  <c:v>170</c:v>
                </c:pt>
                <c:pt idx="7">
                  <c:v>180</c:v>
                </c:pt>
                <c:pt idx="8">
                  <c:v>185</c:v>
                </c:pt>
                <c:pt idx="9">
                  <c:v>190</c:v>
                </c:pt>
                <c:pt idx="10">
                  <c:v>200</c:v>
                </c:pt>
                <c:pt idx="11">
                  <c:v>205</c:v>
                </c:pt>
                <c:pt idx="12">
                  <c:v>215</c:v>
                </c:pt>
                <c:pt idx="13">
                  <c:v>220</c:v>
                </c:pt>
                <c:pt idx="14">
                  <c:v>230</c:v>
                </c:pt>
                <c:pt idx="15">
                  <c:v>235</c:v>
                </c:pt>
                <c:pt idx="16">
                  <c:v>250</c:v>
                </c:pt>
                <c:pt idx="17">
                  <c:v>260</c:v>
                </c:pt>
                <c:pt idx="18">
                  <c:v>275</c:v>
                </c:pt>
                <c:pt idx="19">
                  <c:v>295</c:v>
                </c:pt>
                <c:pt idx="20">
                  <c:v>310</c:v>
                </c:pt>
                <c:pt idx="21">
                  <c:v>340</c:v>
                </c:pt>
                <c:pt idx="22">
                  <c:v>350</c:v>
                </c:pt>
                <c:pt idx="23">
                  <c:v>360</c:v>
                </c:pt>
                <c:pt idx="24">
                  <c:v>380</c:v>
                </c:pt>
                <c:pt idx="25">
                  <c:v>400</c:v>
                </c:pt>
                <c:pt idx="26">
                  <c:v>410</c:v>
                </c:pt>
                <c:pt idx="27">
                  <c:v>425</c:v>
                </c:pt>
              </c:numCache>
            </c:numRef>
          </c:val>
          <c:smooth val="0"/>
          <c:extLst>
            <c:ext xmlns:c16="http://schemas.microsoft.com/office/drawing/2014/chart" uri="{C3380CC4-5D6E-409C-BE32-E72D297353CC}">
              <c16:uniqueId val="{00000000-A260-4140-8612-B69B26FBD1AD}"/>
            </c:ext>
          </c:extLst>
        </c:ser>
        <c:ser>
          <c:idx val="1"/>
          <c:order val="1"/>
          <c:tx>
            <c:strRef>
              <c:f>Rents!$A$4</c:f>
              <c:strCache>
                <c:ptCount val="1"/>
                <c:pt idx="0">
                  <c:v>Wyong</c:v>
                </c:pt>
              </c:strCache>
            </c:strRef>
          </c:tx>
          <c:spPr>
            <a:ln w="28575" cap="rnd">
              <a:solidFill>
                <a:schemeClr val="accent2"/>
              </a:solidFill>
              <a:round/>
            </a:ln>
            <a:effectLst/>
          </c:spPr>
          <c:marker>
            <c:symbol val="none"/>
          </c:marker>
          <c:cat>
            <c:strRef>
              <c:f>Rents!$B$2:$AH$2</c:f>
              <c:strCache>
                <c:ptCount val="33"/>
                <c:pt idx="0">
                  <c:v>Jun-90</c:v>
                </c:pt>
                <c:pt idx="1">
                  <c:v>Jun-91</c:v>
                </c:pt>
                <c:pt idx="2">
                  <c:v>Jun-92</c:v>
                </c:pt>
                <c:pt idx="3">
                  <c:v>Jun-93</c:v>
                </c:pt>
                <c:pt idx="4">
                  <c:v>Jun-94</c:v>
                </c:pt>
                <c:pt idx="5">
                  <c:v>Jun-95</c:v>
                </c:pt>
                <c:pt idx="6">
                  <c:v>Jun-96</c:v>
                </c:pt>
                <c:pt idx="7">
                  <c:v>Jun-97</c:v>
                </c:pt>
                <c:pt idx="8">
                  <c:v>Jun-98</c:v>
                </c:pt>
                <c:pt idx="9">
                  <c:v>Jun-99</c:v>
                </c:pt>
                <c:pt idx="10">
                  <c:v>Jun-00</c:v>
                </c:pt>
                <c:pt idx="11">
                  <c:v>Jun-01</c:v>
                </c:pt>
                <c:pt idx="12">
                  <c:v>Jun-02</c:v>
                </c:pt>
                <c:pt idx="13">
                  <c:v>Jun-03</c:v>
                </c:pt>
                <c:pt idx="14">
                  <c:v>Jun-04</c:v>
                </c:pt>
                <c:pt idx="15">
                  <c:v>Jun-05</c:v>
                </c:pt>
                <c:pt idx="16">
                  <c:v>Jun-06</c:v>
                </c:pt>
                <c:pt idx="17">
                  <c:v>Jun-07</c:v>
                </c:pt>
                <c:pt idx="18">
                  <c:v>Jun-08</c:v>
                </c:pt>
                <c:pt idx="19">
                  <c:v>Jun-09</c:v>
                </c:pt>
                <c:pt idx="20">
                  <c:v>Jun-10</c:v>
                </c:pt>
                <c:pt idx="21">
                  <c:v>Jun-11</c:v>
                </c:pt>
                <c:pt idx="22">
                  <c:v>Jun-12</c:v>
                </c:pt>
                <c:pt idx="23">
                  <c:v>Jun-13</c:v>
                </c:pt>
                <c:pt idx="24">
                  <c:v>Jun-14</c:v>
                </c:pt>
                <c:pt idx="25">
                  <c:v>Jun-15</c:v>
                </c:pt>
                <c:pt idx="26">
                  <c:v>Jun-16</c:v>
                </c:pt>
                <c:pt idx="27">
                  <c:v>Jun-17</c:v>
                </c:pt>
                <c:pt idx="28">
                  <c:v>Jun-18</c:v>
                </c:pt>
                <c:pt idx="29">
                  <c:v>Jun-19</c:v>
                </c:pt>
                <c:pt idx="30">
                  <c:v>Jun-20</c:v>
                </c:pt>
                <c:pt idx="31">
                  <c:v>Jun-21</c:v>
                </c:pt>
                <c:pt idx="32">
                  <c:v>Jun-22</c:v>
                </c:pt>
              </c:strCache>
            </c:strRef>
          </c:cat>
          <c:val>
            <c:numRef>
              <c:f>Rents!$B$4:$AH$4</c:f>
              <c:numCache>
                <c:formatCode>#,##0</c:formatCode>
                <c:ptCount val="33"/>
                <c:pt idx="0">
                  <c:v>130</c:v>
                </c:pt>
                <c:pt idx="1">
                  <c:v>135</c:v>
                </c:pt>
                <c:pt idx="2">
                  <c:v>140</c:v>
                </c:pt>
                <c:pt idx="3">
                  <c:v>140</c:v>
                </c:pt>
                <c:pt idx="4">
                  <c:v>140</c:v>
                </c:pt>
                <c:pt idx="5">
                  <c:v>150</c:v>
                </c:pt>
                <c:pt idx="6">
                  <c:v>150</c:v>
                </c:pt>
                <c:pt idx="7">
                  <c:v>160</c:v>
                </c:pt>
                <c:pt idx="8">
                  <c:v>160</c:v>
                </c:pt>
                <c:pt idx="9">
                  <c:v>170</c:v>
                </c:pt>
                <c:pt idx="10">
                  <c:v>175</c:v>
                </c:pt>
                <c:pt idx="11">
                  <c:v>180</c:v>
                </c:pt>
                <c:pt idx="12">
                  <c:v>190</c:v>
                </c:pt>
                <c:pt idx="13">
                  <c:v>200</c:v>
                </c:pt>
                <c:pt idx="14">
                  <c:v>210</c:v>
                </c:pt>
                <c:pt idx="15">
                  <c:v>220</c:v>
                </c:pt>
                <c:pt idx="16">
                  <c:v>220</c:v>
                </c:pt>
                <c:pt idx="17">
                  <c:v>240</c:v>
                </c:pt>
                <c:pt idx="18">
                  <c:v>250</c:v>
                </c:pt>
                <c:pt idx="19">
                  <c:v>265</c:v>
                </c:pt>
                <c:pt idx="20">
                  <c:v>290</c:v>
                </c:pt>
                <c:pt idx="21">
                  <c:v>310</c:v>
                </c:pt>
                <c:pt idx="22">
                  <c:v>330</c:v>
                </c:pt>
                <c:pt idx="23">
                  <c:v>340</c:v>
                </c:pt>
                <c:pt idx="24">
                  <c:v>350</c:v>
                </c:pt>
                <c:pt idx="25">
                  <c:v>370</c:v>
                </c:pt>
                <c:pt idx="26">
                  <c:v>380</c:v>
                </c:pt>
                <c:pt idx="27">
                  <c:v>390</c:v>
                </c:pt>
              </c:numCache>
            </c:numRef>
          </c:val>
          <c:smooth val="0"/>
          <c:extLst>
            <c:ext xmlns:c16="http://schemas.microsoft.com/office/drawing/2014/chart" uri="{C3380CC4-5D6E-409C-BE32-E72D297353CC}">
              <c16:uniqueId val="{00000001-A260-4140-8612-B69B26FBD1AD}"/>
            </c:ext>
          </c:extLst>
        </c:ser>
        <c:ser>
          <c:idx val="2"/>
          <c:order val="2"/>
          <c:tx>
            <c:strRef>
              <c:f>Rents!$A$5</c:f>
              <c:strCache>
                <c:ptCount val="1"/>
                <c:pt idx="0">
                  <c:v>Central Coast</c:v>
                </c:pt>
              </c:strCache>
            </c:strRef>
          </c:tx>
          <c:spPr>
            <a:ln w="28575" cap="rnd">
              <a:solidFill>
                <a:srgbClr val="FF0066"/>
              </a:solidFill>
              <a:round/>
            </a:ln>
            <a:effectLst/>
          </c:spPr>
          <c:marker>
            <c:symbol val="none"/>
          </c:marker>
          <c:cat>
            <c:strRef>
              <c:f>Rents!$B$2:$AH$2</c:f>
              <c:strCache>
                <c:ptCount val="33"/>
                <c:pt idx="0">
                  <c:v>Jun-90</c:v>
                </c:pt>
                <c:pt idx="1">
                  <c:v>Jun-91</c:v>
                </c:pt>
                <c:pt idx="2">
                  <c:v>Jun-92</c:v>
                </c:pt>
                <c:pt idx="3">
                  <c:v>Jun-93</c:v>
                </c:pt>
                <c:pt idx="4">
                  <c:v>Jun-94</c:v>
                </c:pt>
                <c:pt idx="5">
                  <c:v>Jun-95</c:v>
                </c:pt>
                <c:pt idx="6">
                  <c:v>Jun-96</c:v>
                </c:pt>
                <c:pt idx="7">
                  <c:v>Jun-97</c:v>
                </c:pt>
                <c:pt idx="8">
                  <c:v>Jun-98</c:v>
                </c:pt>
                <c:pt idx="9">
                  <c:v>Jun-99</c:v>
                </c:pt>
                <c:pt idx="10">
                  <c:v>Jun-00</c:v>
                </c:pt>
                <c:pt idx="11">
                  <c:v>Jun-01</c:v>
                </c:pt>
                <c:pt idx="12">
                  <c:v>Jun-02</c:v>
                </c:pt>
                <c:pt idx="13">
                  <c:v>Jun-03</c:v>
                </c:pt>
                <c:pt idx="14">
                  <c:v>Jun-04</c:v>
                </c:pt>
                <c:pt idx="15">
                  <c:v>Jun-05</c:v>
                </c:pt>
                <c:pt idx="16">
                  <c:v>Jun-06</c:v>
                </c:pt>
                <c:pt idx="17">
                  <c:v>Jun-07</c:v>
                </c:pt>
                <c:pt idx="18">
                  <c:v>Jun-08</c:v>
                </c:pt>
                <c:pt idx="19">
                  <c:v>Jun-09</c:v>
                </c:pt>
                <c:pt idx="20">
                  <c:v>Jun-10</c:v>
                </c:pt>
                <c:pt idx="21">
                  <c:v>Jun-11</c:v>
                </c:pt>
                <c:pt idx="22">
                  <c:v>Jun-12</c:v>
                </c:pt>
                <c:pt idx="23">
                  <c:v>Jun-13</c:v>
                </c:pt>
                <c:pt idx="24">
                  <c:v>Jun-14</c:v>
                </c:pt>
                <c:pt idx="25">
                  <c:v>Jun-15</c:v>
                </c:pt>
                <c:pt idx="26">
                  <c:v>Jun-16</c:v>
                </c:pt>
                <c:pt idx="27">
                  <c:v>Jun-17</c:v>
                </c:pt>
                <c:pt idx="28">
                  <c:v>Jun-18</c:v>
                </c:pt>
                <c:pt idx="29">
                  <c:v>Jun-19</c:v>
                </c:pt>
                <c:pt idx="30">
                  <c:v>Jun-20</c:v>
                </c:pt>
                <c:pt idx="31">
                  <c:v>Jun-21</c:v>
                </c:pt>
                <c:pt idx="32">
                  <c:v>Jun-22</c:v>
                </c:pt>
              </c:strCache>
            </c:strRef>
          </c:cat>
          <c:val>
            <c:numRef>
              <c:f>Rents!$B$5:$AH$5</c:f>
              <c:numCache>
                <c:formatCode>General</c:formatCode>
                <c:ptCount val="33"/>
                <c:pt idx="28">
                  <c:v>410</c:v>
                </c:pt>
                <c:pt idx="29">
                  <c:v>410</c:v>
                </c:pt>
                <c:pt idx="30">
                  <c:v>410</c:v>
                </c:pt>
                <c:pt idx="31">
                  <c:v>460</c:v>
                </c:pt>
                <c:pt idx="32">
                  <c:v>520</c:v>
                </c:pt>
              </c:numCache>
            </c:numRef>
          </c:val>
          <c:smooth val="0"/>
          <c:extLst>
            <c:ext xmlns:c16="http://schemas.microsoft.com/office/drawing/2014/chart" uri="{C3380CC4-5D6E-409C-BE32-E72D297353CC}">
              <c16:uniqueId val="{00000002-A260-4140-8612-B69B26FBD1AD}"/>
            </c:ext>
          </c:extLst>
        </c:ser>
        <c:dLbls>
          <c:showLegendKey val="0"/>
          <c:showVal val="0"/>
          <c:showCatName val="0"/>
          <c:showSerName val="0"/>
          <c:showPercent val="0"/>
          <c:showBubbleSize val="0"/>
        </c:dLbls>
        <c:smooth val="0"/>
        <c:axId val="645863904"/>
        <c:axId val="645861608"/>
      </c:lineChart>
      <c:catAx>
        <c:axId val="64586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861608"/>
        <c:crosses val="autoZero"/>
        <c:auto val="1"/>
        <c:lblAlgn val="ctr"/>
        <c:lblOffset val="100"/>
        <c:noMultiLvlLbl val="0"/>
      </c:catAx>
      <c:valAx>
        <c:axId val="645861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863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i="0" baseline="0"/>
              <a:t>Compare number of CRA recipients in stress before and after additional Covid related income support - Central Coast</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'Rental Stress'!$L$21</c:f>
              <c:strCache>
                <c:ptCount val="1"/>
                <c:pt idx="0">
                  <c:v>Central Coast</c:v>
                </c:pt>
              </c:strCache>
            </c:strRef>
          </c:tx>
          <c:spPr>
            <a:solidFill>
              <a:srgbClr val="FFFF37"/>
            </a:solidFill>
            <a:ln>
              <a:noFill/>
            </a:ln>
            <a:effectLst/>
          </c:spPr>
          <c:invertIfNegative val="0"/>
          <c:cat>
            <c:strRef>
              <c:f>'Rental Stress'!$M$20:$O$20</c:f>
              <c:strCache>
                <c:ptCount val="3"/>
                <c:pt idx="0">
                  <c:v>Change in CRA in stress 2016 to 2020</c:v>
                </c:pt>
                <c:pt idx="1">
                  <c:v>Change in CRA in stress 2016 to 2021</c:v>
                </c:pt>
                <c:pt idx="2">
                  <c:v>Change in CRA in stress 2020 to 2021</c:v>
                </c:pt>
              </c:strCache>
            </c:strRef>
          </c:cat>
          <c:val>
            <c:numRef>
              <c:f>'Rental Stress'!$M$21:$O$21</c:f>
              <c:numCache>
                <c:formatCode>General</c:formatCode>
                <c:ptCount val="3"/>
                <c:pt idx="0">
                  <c:v>-447</c:v>
                </c:pt>
                <c:pt idx="1">
                  <c:v>2560</c:v>
                </c:pt>
                <c:pt idx="2">
                  <c:v>3007</c:v>
                </c:pt>
              </c:numCache>
            </c:numRef>
          </c:val>
          <c:extLst>
            <c:ext xmlns:c16="http://schemas.microsoft.com/office/drawing/2014/chart" uri="{C3380CC4-5D6E-409C-BE32-E72D297353CC}">
              <c16:uniqueId val="{00000000-B60F-4F38-91EA-8B38E4E0CBC4}"/>
            </c:ext>
          </c:extLst>
        </c:ser>
        <c:dLbls>
          <c:showLegendKey val="0"/>
          <c:showVal val="0"/>
          <c:showCatName val="0"/>
          <c:showSerName val="0"/>
          <c:showPercent val="0"/>
          <c:showBubbleSize val="0"/>
        </c:dLbls>
        <c:gapWidth val="182"/>
        <c:axId val="513495488"/>
        <c:axId val="513498768"/>
      </c:barChart>
      <c:catAx>
        <c:axId val="513495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513498768"/>
        <c:crosses val="autoZero"/>
        <c:auto val="1"/>
        <c:lblAlgn val="ctr"/>
        <c:lblOffset val="100"/>
        <c:noMultiLvlLbl val="0"/>
      </c:catAx>
      <c:valAx>
        <c:axId val="513498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49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Compare total number</a:t>
            </a:r>
            <a:r>
              <a:rPr lang="en-US" b="1" baseline="0"/>
              <a:t> of CRA recipients before and after additional Covid related income support - </a:t>
            </a:r>
            <a:r>
              <a:rPr lang="en-US" b="1"/>
              <a:t>Central Coast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'Rental Stress'!$P$21</c:f>
              <c:strCache>
                <c:ptCount val="1"/>
                <c:pt idx="0">
                  <c:v>Central Coast</c:v>
                </c:pt>
              </c:strCache>
            </c:strRef>
          </c:tx>
          <c:spPr>
            <a:solidFill>
              <a:srgbClr val="FFCC00"/>
            </a:solidFill>
            <a:ln>
              <a:noFill/>
            </a:ln>
            <a:effectLst/>
          </c:spPr>
          <c:invertIfNegative val="0"/>
          <c:cat>
            <c:strRef>
              <c:f>'Rental Stress'!$Q$20:$S$20</c:f>
              <c:strCache>
                <c:ptCount val="3"/>
                <c:pt idx="0">
                  <c:v>Change in total CRA recipients 2016 to 2020</c:v>
                </c:pt>
                <c:pt idx="1">
                  <c:v>Change in total CRA recipients 2016 to 2021</c:v>
                </c:pt>
                <c:pt idx="2">
                  <c:v>Change in total CRA recipients 2020 to 2021</c:v>
                </c:pt>
              </c:strCache>
            </c:strRef>
          </c:cat>
          <c:val>
            <c:numRef>
              <c:f>'Rental Stress'!$Q$21:$S$21</c:f>
              <c:numCache>
                <c:formatCode>General</c:formatCode>
                <c:ptCount val="3"/>
                <c:pt idx="0" formatCode="#,##0">
                  <c:v>4915</c:v>
                </c:pt>
                <c:pt idx="1">
                  <c:v>1287</c:v>
                </c:pt>
                <c:pt idx="2">
                  <c:v>-3628</c:v>
                </c:pt>
              </c:numCache>
            </c:numRef>
          </c:val>
          <c:extLst>
            <c:ext xmlns:c16="http://schemas.microsoft.com/office/drawing/2014/chart" uri="{C3380CC4-5D6E-409C-BE32-E72D297353CC}">
              <c16:uniqueId val="{00000000-E5EA-4449-96A3-3179B4CD7D7A}"/>
            </c:ext>
          </c:extLst>
        </c:ser>
        <c:dLbls>
          <c:showLegendKey val="0"/>
          <c:showVal val="0"/>
          <c:showCatName val="0"/>
          <c:showSerName val="0"/>
          <c:showPercent val="0"/>
          <c:showBubbleSize val="0"/>
        </c:dLbls>
        <c:gapWidth val="182"/>
        <c:axId val="511955688"/>
        <c:axId val="511957000"/>
      </c:barChart>
      <c:catAx>
        <c:axId val="511955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511957000"/>
        <c:crosses val="autoZero"/>
        <c:auto val="1"/>
        <c:lblAlgn val="ctr"/>
        <c:lblOffset val="100"/>
        <c:noMultiLvlLbl val="0"/>
      </c:catAx>
      <c:valAx>
        <c:axId val="5119570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955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Median Sales Price</a:t>
            </a:r>
            <a:r>
              <a:rPr lang="en-AU" b="1" baseline="0"/>
              <a:t> - Houses - Central Coast - 1994 to 2022</a:t>
            </a:r>
            <a:endParaRPr lang="en-A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Sales!$A$4</c:f>
              <c:strCache>
                <c:ptCount val="1"/>
                <c:pt idx="0">
                  <c:v>Gosford</c:v>
                </c:pt>
              </c:strCache>
            </c:strRef>
          </c:tx>
          <c:spPr>
            <a:ln w="28575" cap="rnd">
              <a:solidFill>
                <a:srgbClr val="0000FF"/>
              </a:solidFill>
              <a:round/>
            </a:ln>
            <a:effectLst/>
          </c:spPr>
          <c:marker>
            <c:symbol val="none"/>
          </c:marker>
          <c:cat>
            <c:strRef>
              <c:f>Sales!$B$3:$AD$3</c:f>
              <c:strCache>
                <c:ptCount val="29"/>
                <c:pt idx="0">
                  <c:v>Jun-94</c:v>
                </c:pt>
                <c:pt idx="1">
                  <c:v>Mar-95</c:v>
                </c:pt>
                <c:pt idx="2">
                  <c:v>Mar-96</c:v>
                </c:pt>
                <c:pt idx="3">
                  <c:v>Mar-97</c:v>
                </c:pt>
                <c:pt idx="4">
                  <c:v>Mar-98</c:v>
                </c:pt>
                <c:pt idx="5">
                  <c:v>Mar-99</c:v>
                </c:pt>
                <c:pt idx="6">
                  <c:v>Mar-00</c:v>
                </c:pt>
                <c:pt idx="7">
                  <c:v>Mar-01</c:v>
                </c:pt>
                <c:pt idx="8">
                  <c:v>Mar-02</c:v>
                </c:pt>
                <c:pt idx="9">
                  <c:v>Mar-03</c:v>
                </c:pt>
                <c:pt idx="10">
                  <c:v>Mar-04</c:v>
                </c:pt>
                <c:pt idx="11">
                  <c:v>Mar-05</c:v>
                </c:pt>
                <c:pt idx="12">
                  <c:v>Mar-06</c:v>
                </c:pt>
                <c:pt idx="13">
                  <c:v>Mar-07</c:v>
                </c:pt>
                <c:pt idx="14">
                  <c:v>Mar-08</c:v>
                </c:pt>
                <c:pt idx="15">
                  <c:v>Mar-09</c:v>
                </c:pt>
                <c:pt idx="16">
                  <c:v>Mar-10</c:v>
                </c:pt>
                <c:pt idx="17">
                  <c:v>Mar-11</c:v>
                </c:pt>
                <c:pt idx="18">
                  <c:v>Mar-12</c:v>
                </c:pt>
                <c:pt idx="19">
                  <c:v>Mar-13</c:v>
                </c:pt>
                <c:pt idx="20">
                  <c:v>Mar-14</c:v>
                </c:pt>
                <c:pt idx="21">
                  <c:v>Mar-15</c:v>
                </c:pt>
                <c:pt idx="22">
                  <c:v>Mar-16</c:v>
                </c:pt>
                <c:pt idx="23">
                  <c:v>Mar-17</c:v>
                </c:pt>
                <c:pt idx="24">
                  <c:v>Mar-18</c:v>
                </c:pt>
                <c:pt idx="25">
                  <c:v>Mar-19</c:v>
                </c:pt>
                <c:pt idx="26">
                  <c:v>Mar-20</c:v>
                </c:pt>
                <c:pt idx="27">
                  <c:v>Mar-21</c:v>
                </c:pt>
                <c:pt idx="28">
                  <c:v>Mar-22</c:v>
                </c:pt>
              </c:strCache>
            </c:strRef>
          </c:cat>
          <c:val>
            <c:numRef>
              <c:f>Sales!$B$4:$AD$4</c:f>
              <c:numCache>
                <c:formatCode>#,##0</c:formatCode>
                <c:ptCount val="29"/>
                <c:pt idx="0">
                  <c:v>160</c:v>
                </c:pt>
                <c:pt idx="1">
                  <c:v>154</c:v>
                </c:pt>
                <c:pt idx="2">
                  <c:v>162</c:v>
                </c:pt>
                <c:pt idx="3">
                  <c:v>175</c:v>
                </c:pt>
                <c:pt idx="4">
                  <c:v>182</c:v>
                </c:pt>
                <c:pt idx="5">
                  <c:v>216.8</c:v>
                </c:pt>
                <c:pt idx="6">
                  <c:v>243</c:v>
                </c:pt>
                <c:pt idx="7">
                  <c:v>260</c:v>
                </c:pt>
                <c:pt idx="8">
                  <c:v>298.5</c:v>
                </c:pt>
                <c:pt idx="9">
                  <c:v>387.8</c:v>
                </c:pt>
                <c:pt idx="10">
                  <c:v>410</c:v>
                </c:pt>
                <c:pt idx="11">
                  <c:v>390</c:v>
                </c:pt>
                <c:pt idx="12">
                  <c:v>408</c:v>
                </c:pt>
                <c:pt idx="13">
                  <c:v>405</c:v>
                </c:pt>
                <c:pt idx="14">
                  <c:v>380</c:v>
                </c:pt>
                <c:pt idx="15">
                  <c:v>375</c:v>
                </c:pt>
                <c:pt idx="16">
                  <c:v>413.3</c:v>
                </c:pt>
                <c:pt idx="17">
                  <c:v>426.5</c:v>
                </c:pt>
                <c:pt idx="18">
                  <c:v>410</c:v>
                </c:pt>
                <c:pt idx="19">
                  <c:v>445</c:v>
                </c:pt>
                <c:pt idx="20" formatCode="General">
                  <c:v>501</c:v>
                </c:pt>
                <c:pt idx="21">
                  <c:v>567</c:v>
                </c:pt>
                <c:pt idx="22">
                  <c:v>630</c:v>
                </c:pt>
                <c:pt idx="23">
                  <c:v>730</c:v>
                </c:pt>
              </c:numCache>
            </c:numRef>
          </c:val>
          <c:smooth val="0"/>
          <c:extLst>
            <c:ext xmlns:c16="http://schemas.microsoft.com/office/drawing/2014/chart" uri="{C3380CC4-5D6E-409C-BE32-E72D297353CC}">
              <c16:uniqueId val="{00000000-4B4C-4833-8C74-55FA89587515}"/>
            </c:ext>
          </c:extLst>
        </c:ser>
        <c:ser>
          <c:idx val="1"/>
          <c:order val="1"/>
          <c:tx>
            <c:strRef>
              <c:f>Sales!$A$5</c:f>
              <c:strCache>
                <c:ptCount val="1"/>
                <c:pt idx="0">
                  <c:v>Wyong</c:v>
                </c:pt>
              </c:strCache>
            </c:strRef>
          </c:tx>
          <c:spPr>
            <a:ln w="28575" cap="rnd">
              <a:solidFill>
                <a:srgbClr val="00FF00"/>
              </a:solidFill>
              <a:round/>
            </a:ln>
            <a:effectLst/>
          </c:spPr>
          <c:marker>
            <c:symbol val="none"/>
          </c:marker>
          <c:cat>
            <c:strRef>
              <c:f>Sales!$B$3:$AD$3</c:f>
              <c:strCache>
                <c:ptCount val="29"/>
                <c:pt idx="0">
                  <c:v>Jun-94</c:v>
                </c:pt>
                <c:pt idx="1">
                  <c:v>Mar-95</c:v>
                </c:pt>
                <c:pt idx="2">
                  <c:v>Mar-96</c:v>
                </c:pt>
                <c:pt idx="3">
                  <c:v>Mar-97</c:v>
                </c:pt>
                <c:pt idx="4">
                  <c:v>Mar-98</c:v>
                </c:pt>
                <c:pt idx="5">
                  <c:v>Mar-99</c:v>
                </c:pt>
                <c:pt idx="6">
                  <c:v>Mar-00</c:v>
                </c:pt>
                <c:pt idx="7">
                  <c:v>Mar-01</c:v>
                </c:pt>
                <c:pt idx="8">
                  <c:v>Mar-02</c:v>
                </c:pt>
                <c:pt idx="9">
                  <c:v>Mar-03</c:v>
                </c:pt>
                <c:pt idx="10">
                  <c:v>Mar-04</c:v>
                </c:pt>
                <c:pt idx="11">
                  <c:v>Mar-05</c:v>
                </c:pt>
                <c:pt idx="12">
                  <c:v>Mar-06</c:v>
                </c:pt>
                <c:pt idx="13">
                  <c:v>Mar-07</c:v>
                </c:pt>
                <c:pt idx="14">
                  <c:v>Mar-08</c:v>
                </c:pt>
                <c:pt idx="15">
                  <c:v>Mar-09</c:v>
                </c:pt>
                <c:pt idx="16">
                  <c:v>Mar-10</c:v>
                </c:pt>
                <c:pt idx="17">
                  <c:v>Mar-11</c:v>
                </c:pt>
                <c:pt idx="18">
                  <c:v>Mar-12</c:v>
                </c:pt>
                <c:pt idx="19">
                  <c:v>Mar-13</c:v>
                </c:pt>
                <c:pt idx="20">
                  <c:v>Mar-14</c:v>
                </c:pt>
                <c:pt idx="21">
                  <c:v>Mar-15</c:v>
                </c:pt>
                <c:pt idx="22">
                  <c:v>Mar-16</c:v>
                </c:pt>
                <c:pt idx="23">
                  <c:v>Mar-17</c:v>
                </c:pt>
                <c:pt idx="24">
                  <c:v>Mar-18</c:v>
                </c:pt>
                <c:pt idx="25">
                  <c:v>Mar-19</c:v>
                </c:pt>
                <c:pt idx="26">
                  <c:v>Mar-20</c:v>
                </c:pt>
                <c:pt idx="27">
                  <c:v>Mar-21</c:v>
                </c:pt>
                <c:pt idx="28">
                  <c:v>Mar-22</c:v>
                </c:pt>
              </c:strCache>
            </c:strRef>
          </c:cat>
          <c:val>
            <c:numRef>
              <c:f>Sales!$B$5:$AD$5</c:f>
              <c:numCache>
                <c:formatCode>#,##0</c:formatCode>
                <c:ptCount val="29"/>
                <c:pt idx="0">
                  <c:v>131.1</c:v>
                </c:pt>
                <c:pt idx="1">
                  <c:v>130</c:v>
                </c:pt>
                <c:pt idx="2">
                  <c:v>130</c:v>
                </c:pt>
                <c:pt idx="3">
                  <c:v>139.9</c:v>
                </c:pt>
                <c:pt idx="4">
                  <c:v>150</c:v>
                </c:pt>
                <c:pt idx="5">
                  <c:v>155</c:v>
                </c:pt>
                <c:pt idx="6">
                  <c:v>183.5</c:v>
                </c:pt>
                <c:pt idx="7">
                  <c:v>196</c:v>
                </c:pt>
                <c:pt idx="8">
                  <c:v>238.4</c:v>
                </c:pt>
                <c:pt idx="9">
                  <c:v>305</c:v>
                </c:pt>
                <c:pt idx="10">
                  <c:v>338</c:v>
                </c:pt>
                <c:pt idx="11">
                  <c:v>322.5</c:v>
                </c:pt>
                <c:pt idx="12">
                  <c:v>312</c:v>
                </c:pt>
                <c:pt idx="13">
                  <c:v>305</c:v>
                </c:pt>
                <c:pt idx="14">
                  <c:v>295.3</c:v>
                </c:pt>
                <c:pt idx="15">
                  <c:v>308</c:v>
                </c:pt>
                <c:pt idx="16">
                  <c:v>330</c:v>
                </c:pt>
                <c:pt idx="17">
                  <c:v>335</c:v>
                </c:pt>
                <c:pt idx="18">
                  <c:v>345.5</c:v>
                </c:pt>
                <c:pt idx="19">
                  <c:v>355</c:v>
                </c:pt>
                <c:pt idx="20" formatCode="General">
                  <c:v>388</c:v>
                </c:pt>
                <c:pt idx="21">
                  <c:v>430</c:v>
                </c:pt>
                <c:pt idx="22">
                  <c:v>475</c:v>
                </c:pt>
                <c:pt idx="23">
                  <c:v>555</c:v>
                </c:pt>
              </c:numCache>
            </c:numRef>
          </c:val>
          <c:smooth val="0"/>
          <c:extLst>
            <c:ext xmlns:c16="http://schemas.microsoft.com/office/drawing/2014/chart" uri="{C3380CC4-5D6E-409C-BE32-E72D297353CC}">
              <c16:uniqueId val="{00000001-4B4C-4833-8C74-55FA89587515}"/>
            </c:ext>
          </c:extLst>
        </c:ser>
        <c:ser>
          <c:idx val="2"/>
          <c:order val="2"/>
          <c:tx>
            <c:strRef>
              <c:f>Sales!$A$6</c:f>
              <c:strCache>
                <c:ptCount val="1"/>
                <c:pt idx="0">
                  <c:v>Central Coast</c:v>
                </c:pt>
              </c:strCache>
            </c:strRef>
          </c:tx>
          <c:spPr>
            <a:ln w="28575" cap="rnd">
              <a:solidFill>
                <a:srgbClr val="FF0000"/>
              </a:solidFill>
              <a:round/>
            </a:ln>
            <a:effectLst/>
          </c:spPr>
          <c:marker>
            <c:symbol val="none"/>
          </c:marker>
          <c:cat>
            <c:strRef>
              <c:f>Sales!$B$3:$AD$3</c:f>
              <c:strCache>
                <c:ptCount val="29"/>
                <c:pt idx="0">
                  <c:v>Jun-94</c:v>
                </c:pt>
                <c:pt idx="1">
                  <c:v>Mar-95</c:v>
                </c:pt>
                <c:pt idx="2">
                  <c:v>Mar-96</c:v>
                </c:pt>
                <c:pt idx="3">
                  <c:v>Mar-97</c:v>
                </c:pt>
                <c:pt idx="4">
                  <c:v>Mar-98</c:v>
                </c:pt>
                <c:pt idx="5">
                  <c:v>Mar-99</c:v>
                </c:pt>
                <c:pt idx="6">
                  <c:v>Mar-00</c:v>
                </c:pt>
                <c:pt idx="7">
                  <c:v>Mar-01</c:v>
                </c:pt>
                <c:pt idx="8">
                  <c:v>Mar-02</c:v>
                </c:pt>
                <c:pt idx="9">
                  <c:v>Mar-03</c:v>
                </c:pt>
                <c:pt idx="10">
                  <c:v>Mar-04</c:v>
                </c:pt>
                <c:pt idx="11">
                  <c:v>Mar-05</c:v>
                </c:pt>
                <c:pt idx="12">
                  <c:v>Mar-06</c:v>
                </c:pt>
                <c:pt idx="13">
                  <c:v>Mar-07</c:v>
                </c:pt>
                <c:pt idx="14">
                  <c:v>Mar-08</c:v>
                </c:pt>
                <c:pt idx="15">
                  <c:v>Mar-09</c:v>
                </c:pt>
                <c:pt idx="16">
                  <c:v>Mar-10</c:v>
                </c:pt>
                <c:pt idx="17">
                  <c:v>Mar-11</c:v>
                </c:pt>
                <c:pt idx="18">
                  <c:v>Mar-12</c:v>
                </c:pt>
                <c:pt idx="19">
                  <c:v>Mar-13</c:v>
                </c:pt>
                <c:pt idx="20">
                  <c:v>Mar-14</c:v>
                </c:pt>
                <c:pt idx="21">
                  <c:v>Mar-15</c:v>
                </c:pt>
                <c:pt idx="22">
                  <c:v>Mar-16</c:v>
                </c:pt>
                <c:pt idx="23">
                  <c:v>Mar-17</c:v>
                </c:pt>
                <c:pt idx="24">
                  <c:v>Mar-18</c:v>
                </c:pt>
                <c:pt idx="25">
                  <c:v>Mar-19</c:v>
                </c:pt>
                <c:pt idx="26">
                  <c:v>Mar-20</c:v>
                </c:pt>
                <c:pt idx="27">
                  <c:v>Mar-21</c:v>
                </c:pt>
                <c:pt idx="28">
                  <c:v>Mar-22</c:v>
                </c:pt>
              </c:strCache>
            </c:strRef>
          </c:cat>
          <c:val>
            <c:numRef>
              <c:f>Sales!$B$6:$AD$6</c:f>
              <c:numCache>
                <c:formatCode>General</c:formatCode>
                <c:ptCount val="29"/>
                <c:pt idx="24">
                  <c:v>670</c:v>
                </c:pt>
                <c:pt idx="25">
                  <c:v>639</c:v>
                </c:pt>
                <c:pt idx="26">
                  <c:v>686</c:v>
                </c:pt>
                <c:pt idx="27">
                  <c:v>851</c:v>
                </c:pt>
                <c:pt idx="28">
                  <c:v>1071</c:v>
                </c:pt>
              </c:numCache>
            </c:numRef>
          </c:val>
          <c:smooth val="0"/>
          <c:extLst>
            <c:ext xmlns:c16="http://schemas.microsoft.com/office/drawing/2014/chart" uri="{C3380CC4-5D6E-409C-BE32-E72D297353CC}">
              <c16:uniqueId val="{00000002-4B4C-4833-8C74-55FA89587515}"/>
            </c:ext>
          </c:extLst>
        </c:ser>
        <c:dLbls>
          <c:showLegendKey val="0"/>
          <c:showVal val="0"/>
          <c:showCatName val="0"/>
          <c:showSerName val="0"/>
          <c:showPercent val="0"/>
          <c:showBubbleSize val="0"/>
        </c:dLbls>
        <c:smooth val="0"/>
        <c:axId val="580208704"/>
        <c:axId val="580198864"/>
      </c:lineChart>
      <c:catAx>
        <c:axId val="58020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198864"/>
        <c:crosses val="autoZero"/>
        <c:auto val="1"/>
        <c:lblAlgn val="ctr"/>
        <c:lblOffset val="100"/>
        <c:noMultiLvlLbl val="0"/>
      </c:catAx>
      <c:valAx>
        <c:axId val="580198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20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Median Sales Price</a:t>
            </a:r>
            <a:r>
              <a:rPr lang="en-AU" b="1" baseline="0"/>
              <a:t> - Strata Properties - Central Coast - 1994 to 2022</a:t>
            </a:r>
            <a:endParaRPr lang="en-A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Sales!$A$10</c:f>
              <c:strCache>
                <c:ptCount val="1"/>
                <c:pt idx="0">
                  <c:v>Gosford</c:v>
                </c:pt>
              </c:strCache>
            </c:strRef>
          </c:tx>
          <c:spPr>
            <a:ln w="28575" cap="rnd">
              <a:solidFill>
                <a:srgbClr val="FF3300"/>
              </a:solidFill>
              <a:round/>
            </a:ln>
            <a:effectLst/>
          </c:spPr>
          <c:marker>
            <c:symbol val="none"/>
          </c:marker>
          <c:cat>
            <c:strRef>
              <c:f>Sales!$B$9:$AD$9</c:f>
              <c:strCache>
                <c:ptCount val="29"/>
                <c:pt idx="0">
                  <c:v>Jun-94</c:v>
                </c:pt>
                <c:pt idx="1">
                  <c:v>Mar-95</c:v>
                </c:pt>
                <c:pt idx="2">
                  <c:v>Mar-96</c:v>
                </c:pt>
                <c:pt idx="3">
                  <c:v>Mar-97</c:v>
                </c:pt>
                <c:pt idx="4">
                  <c:v>Mar-98</c:v>
                </c:pt>
                <c:pt idx="5">
                  <c:v>Mar-99</c:v>
                </c:pt>
                <c:pt idx="6">
                  <c:v>Mar-00</c:v>
                </c:pt>
                <c:pt idx="7">
                  <c:v>Mar-01</c:v>
                </c:pt>
                <c:pt idx="8">
                  <c:v>Mar-02</c:v>
                </c:pt>
                <c:pt idx="9">
                  <c:v>Mar-03</c:v>
                </c:pt>
                <c:pt idx="10">
                  <c:v>Mar-04</c:v>
                </c:pt>
                <c:pt idx="11">
                  <c:v>Mar-05</c:v>
                </c:pt>
                <c:pt idx="12">
                  <c:v>Mar-06</c:v>
                </c:pt>
                <c:pt idx="13">
                  <c:v>Mar-07</c:v>
                </c:pt>
                <c:pt idx="14">
                  <c:v>Mar-08</c:v>
                </c:pt>
                <c:pt idx="15">
                  <c:v>Mar-09</c:v>
                </c:pt>
                <c:pt idx="16">
                  <c:v>Mar-10</c:v>
                </c:pt>
                <c:pt idx="17">
                  <c:v>Mar-11</c:v>
                </c:pt>
                <c:pt idx="18">
                  <c:v>Mar-12</c:v>
                </c:pt>
                <c:pt idx="19">
                  <c:v>Mar-13</c:v>
                </c:pt>
                <c:pt idx="20">
                  <c:v>Mar-14</c:v>
                </c:pt>
                <c:pt idx="21">
                  <c:v>Mar-15</c:v>
                </c:pt>
                <c:pt idx="22">
                  <c:v>Mar-16</c:v>
                </c:pt>
                <c:pt idx="23">
                  <c:v>Mar-17</c:v>
                </c:pt>
                <c:pt idx="24">
                  <c:v>Mar-18</c:v>
                </c:pt>
                <c:pt idx="25">
                  <c:v>Mar-19</c:v>
                </c:pt>
                <c:pt idx="26">
                  <c:v>Mar-20</c:v>
                </c:pt>
                <c:pt idx="27">
                  <c:v>Mar-21</c:v>
                </c:pt>
                <c:pt idx="28">
                  <c:v>Mar-22</c:v>
                </c:pt>
              </c:strCache>
            </c:strRef>
          </c:cat>
          <c:val>
            <c:numRef>
              <c:f>Sales!$B$10:$AD$10</c:f>
              <c:numCache>
                <c:formatCode>General</c:formatCode>
                <c:ptCount val="29"/>
                <c:pt idx="0">
                  <c:v>174</c:v>
                </c:pt>
                <c:pt idx="1">
                  <c:v>126</c:v>
                </c:pt>
                <c:pt idx="2">
                  <c:v>133</c:v>
                </c:pt>
                <c:pt idx="3">
                  <c:v>193</c:v>
                </c:pt>
                <c:pt idx="4">
                  <c:v>186</c:v>
                </c:pt>
                <c:pt idx="5">
                  <c:v>251</c:v>
                </c:pt>
                <c:pt idx="6">
                  <c:v>198</c:v>
                </c:pt>
                <c:pt idx="7">
                  <c:v>240</c:v>
                </c:pt>
                <c:pt idx="8">
                  <c:v>312</c:v>
                </c:pt>
                <c:pt idx="9">
                  <c:v>344</c:v>
                </c:pt>
                <c:pt idx="10">
                  <c:v>243</c:v>
                </c:pt>
                <c:pt idx="11">
                  <c:v>159</c:v>
                </c:pt>
                <c:pt idx="12">
                  <c:v>244</c:v>
                </c:pt>
                <c:pt idx="13">
                  <c:v>229</c:v>
                </c:pt>
                <c:pt idx="14">
                  <c:v>198</c:v>
                </c:pt>
                <c:pt idx="15">
                  <c:v>264</c:v>
                </c:pt>
                <c:pt idx="16">
                  <c:v>194</c:v>
                </c:pt>
                <c:pt idx="17">
                  <c:v>178</c:v>
                </c:pt>
                <c:pt idx="18">
                  <c:v>178</c:v>
                </c:pt>
                <c:pt idx="19">
                  <c:v>215</c:v>
                </c:pt>
                <c:pt idx="20">
                  <c:v>360</c:v>
                </c:pt>
                <c:pt idx="21" formatCode="#,##0">
                  <c:v>424</c:v>
                </c:pt>
                <c:pt idx="22" formatCode="#,##0">
                  <c:v>485</c:v>
                </c:pt>
                <c:pt idx="23" formatCode="#,##0">
                  <c:v>546</c:v>
                </c:pt>
              </c:numCache>
            </c:numRef>
          </c:val>
          <c:smooth val="0"/>
          <c:extLst>
            <c:ext xmlns:c16="http://schemas.microsoft.com/office/drawing/2014/chart" uri="{C3380CC4-5D6E-409C-BE32-E72D297353CC}">
              <c16:uniqueId val="{00000000-34C2-498B-8135-956BBA1741F2}"/>
            </c:ext>
          </c:extLst>
        </c:ser>
        <c:ser>
          <c:idx val="1"/>
          <c:order val="1"/>
          <c:tx>
            <c:strRef>
              <c:f>Sales!$A$11</c:f>
              <c:strCache>
                <c:ptCount val="1"/>
                <c:pt idx="0">
                  <c:v>Wyong</c:v>
                </c:pt>
              </c:strCache>
            </c:strRef>
          </c:tx>
          <c:spPr>
            <a:ln w="28575" cap="rnd">
              <a:solidFill>
                <a:srgbClr val="FFC000"/>
              </a:solidFill>
              <a:round/>
            </a:ln>
            <a:effectLst/>
          </c:spPr>
          <c:marker>
            <c:symbol val="none"/>
          </c:marker>
          <c:cat>
            <c:strRef>
              <c:f>Sales!$B$9:$AD$9</c:f>
              <c:strCache>
                <c:ptCount val="29"/>
                <c:pt idx="0">
                  <c:v>Jun-94</c:v>
                </c:pt>
                <c:pt idx="1">
                  <c:v>Mar-95</c:v>
                </c:pt>
                <c:pt idx="2">
                  <c:v>Mar-96</c:v>
                </c:pt>
                <c:pt idx="3">
                  <c:v>Mar-97</c:v>
                </c:pt>
                <c:pt idx="4">
                  <c:v>Mar-98</c:v>
                </c:pt>
                <c:pt idx="5">
                  <c:v>Mar-99</c:v>
                </c:pt>
                <c:pt idx="6">
                  <c:v>Mar-00</c:v>
                </c:pt>
                <c:pt idx="7">
                  <c:v>Mar-01</c:v>
                </c:pt>
                <c:pt idx="8">
                  <c:v>Mar-02</c:v>
                </c:pt>
                <c:pt idx="9">
                  <c:v>Mar-03</c:v>
                </c:pt>
                <c:pt idx="10">
                  <c:v>Mar-04</c:v>
                </c:pt>
                <c:pt idx="11">
                  <c:v>Mar-05</c:v>
                </c:pt>
                <c:pt idx="12">
                  <c:v>Mar-06</c:v>
                </c:pt>
                <c:pt idx="13">
                  <c:v>Mar-07</c:v>
                </c:pt>
                <c:pt idx="14">
                  <c:v>Mar-08</c:v>
                </c:pt>
                <c:pt idx="15">
                  <c:v>Mar-09</c:v>
                </c:pt>
                <c:pt idx="16">
                  <c:v>Mar-10</c:v>
                </c:pt>
                <c:pt idx="17">
                  <c:v>Mar-11</c:v>
                </c:pt>
                <c:pt idx="18">
                  <c:v>Mar-12</c:v>
                </c:pt>
                <c:pt idx="19">
                  <c:v>Mar-13</c:v>
                </c:pt>
                <c:pt idx="20">
                  <c:v>Mar-14</c:v>
                </c:pt>
                <c:pt idx="21">
                  <c:v>Mar-15</c:v>
                </c:pt>
                <c:pt idx="22">
                  <c:v>Mar-16</c:v>
                </c:pt>
                <c:pt idx="23">
                  <c:v>Mar-17</c:v>
                </c:pt>
                <c:pt idx="24">
                  <c:v>Mar-18</c:v>
                </c:pt>
                <c:pt idx="25">
                  <c:v>Mar-19</c:v>
                </c:pt>
                <c:pt idx="26">
                  <c:v>Mar-20</c:v>
                </c:pt>
                <c:pt idx="27">
                  <c:v>Mar-21</c:v>
                </c:pt>
                <c:pt idx="28">
                  <c:v>Mar-22</c:v>
                </c:pt>
              </c:strCache>
            </c:strRef>
          </c:cat>
          <c:val>
            <c:numRef>
              <c:f>Sales!$B$11:$AD$11</c:f>
              <c:numCache>
                <c:formatCode>General</c:formatCode>
                <c:ptCount val="29"/>
                <c:pt idx="0">
                  <c:v>88</c:v>
                </c:pt>
                <c:pt idx="1">
                  <c:v>68</c:v>
                </c:pt>
                <c:pt idx="2">
                  <c:v>75</c:v>
                </c:pt>
                <c:pt idx="3">
                  <c:v>106</c:v>
                </c:pt>
                <c:pt idx="4">
                  <c:v>89</c:v>
                </c:pt>
                <c:pt idx="5">
                  <c:v>102</c:v>
                </c:pt>
                <c:pt idx="6">
                  <c:v>122</c:v>
                </c:pt>
                <c:pt idx="7">
                  <c:v>120</c:v>
                </c:pt>
                <c:pt idx="8">
                  <c:v>176</c:v>
                </c:pt>
                <c:pt idx="9">
                  <c:v>164</c:v>
                </c:pt>
                <c:pt idx="10">
                  <c:v>118</c:v>
                </c:pt>
                <c:pt idx="11">
                  <c:v>73</c:v>
                </c:pt>
                <c:pt idx="12">
                  <c:v>130</c:v>
                </c:pt>
                <c:pt idx="13">
                  <c:v>129</c:v>
                </c:pt>
                <c:pt idx="14">
                  <c:v>123</c:v>
                </c:pt>
                <c:pt idx="15">
                  <c:v>157</c:v>
                </c:pt>
                <c:pt idx="16">
                  <c:v>124</c:v>
                </c:pt>
                <c:pt idx="17">
                  <c:v>109</c:v>
                </c:pt>
                <c:pt idx="18">
                  <c:v>121</c:v>
                </c:pt>
                <c:pt idx="19">
                  <c:v>124</c:v>
                </c:pt>
                <c:pt idx="20">
                  <c:v>296</c:v>
                </c:pt>
                <c:pt idx="21" formatCode="#,##0">
                  <c:v>325</c:v>
                </c:pt>
                <c:pt idx="22" formatCode="#,##0">
                  <c:v>365</c:v>
                </c:pt>
                <c:pt idx="23" formatCode="#,##0">
                  <c:v>415</c:v>
                </c:pt>
              </c:numCache>
            </c:numRef>
          </c:val>
          <c:smooth val="0"/>
          <c:extLst>
            <c:ext xmlns:c16="http://schemas.microsoft.com/office/drawing/2014/chart" uri="{C3380CC4-5D6E-409C-BE32-E72D297353CC}">
              <c16:uniqueId val="{00000001-34C2-498B-8135-956BBA1741F2}"/>
            </c:ext>
          </c:extLst>
        </c:ser>
        <c:ser>
          <c:idx val="2"/>
          <c:order val="2"/>
          <c:tx>
            <c:strRef>
              <c:f>Sales!$A$12</c:f>
              <c:strCache>
                <c:ptCount val="1"/>
                <c:pt idx="0">
                  <c:v>Central Coast</c:v>
                </c:pt>
              </c:strCache>
            </c:strRef>
          </c:tx>
          <c:spPr>
            <a:ln w="28575" cap="rnd">
              <a:solidFill>
                <a:srgbClr val="FF00FF"/>
              </a:solidFill>
              <a:round/>
            </a:ln>
            <a:effectLst/>
          </c:spPr>
          <c:marker>
            <c:symbol val="none"/>
          </c:marker>
          <c:cat>
            <c:strRef>
              <c:f>Sales!$B$9:$AD$9</c:f>
              <c:strCache>
                <c:ptCount val="29"/>
                <c:pt idx="0">
                  <c:v>Jun-94</c:v>
                </c:pt>
                <c:pt idx="1">
                  <c:v>Mar-95</c:v>
                </c:pt>
                <c:pt idx="2">
                  <c:v>Mar-96</c:v>
                </c:pt>
                <c:pt idx="3">
                  <c:v>Mar-97</c:v>
                </c:pt>
                <c:pt idx="4">
                  <c:v>Mar-98</c:v>
                </c:pt>
                <c:pt idx="5">
                  <c:v>Mar-99</c:v>
                </c:pt>
                <c:pt idx="6">
                  <c:v>Mar-00</c:v>
                </c:pt>
                <c:pt idx="7">
                  <c:v>Mar-01</c:v>
                </c:pt>
                <c:pt idx="8">
                  <c:v>Mar-02</c:v>
                </c:pt>
                <c:pt idx="9">
                  <c:v>Mar-03</c:v>
                </c:pt>
                <c:pt idx="10">
                  <c:v>Mar-04</c:v>
                </c:pt>
                <c:pt idx="11">
                  <c:v>Mar-05</c:v>
                </c:pt>
                <c:pt idx="12">
                  <c:v>Mar-06</c:v>
                </c:pt>
                <c:pt idx="13">
                  <c:v>Mar-07</c:v>
                </c:pt>
                <c:pt idx="14">
                  <c:v>Mar-08</c:v>
                </c:pt>
                <c:pt idx="15">
                  <c:v>Mar-09</c:v>
                </c:pt>
                <c:pt idx="16">
                  <c:v>Mar-10</c:v>
                </c:pt>
                <c:pt idx="17">
                  <c:v>Mar-11</c:v>
                </c:pt>
                <c:pt idx="18">
                  <c:v>Mar-12</c:v>
                </c:pt>
                <c:pt idx="19">
                  <c:v>Mar-13</c:v>
                </c:pt>
                <c:pt idx="20">
                  <c:v>Mar-14</c:v>
                </c:pt>
                <c:pt idx="21">
                  <c:v>Mar-15</c:v>
                </c:pt>
                <c:pt idx="22">
                  <c:v>Mar-16</c:v>
                </c:pt>
                <c:pt idx="23">
                  <c:v>Mar-17</c:v>
                </c:pt>
                <c:pt idx="24">
                  <c:v>Mar-18</c:v>
                </c:pt>
                <c:pt idx="25">
                  <c:v>Mar-19</c:v>
                </c:pt>
                <c:pt idx="26">
                  <c:v>Mar-20</c:v>
                </c:pt>
                <c:pt idx="27">
                  <c:v>Mar-21</c:v>
                </c:pt>
                <c:pt idx="28">
                  <c:v>Mar-22</c:v>
                </c:pt>
              </c:strCache>
            </c:strRef>
          </c:cat>
          <c:val>
            <c:numRef>
              <c:f>Sales!$B$12:$AD$12</c:f>
              <c:numCache>
                <c:formatCode>General</c:formatCode>
                <c:ptCount val="29"/>
                <c:pt idx="24">
                  <c:v>510</c:v>
                </c:pt>
                <c:pt idx="25">
                  <c:v>501</c:v>
                </c:pt>
                <c:pt idx="26">
                  <c:v>523</c:v>
                </c:pt>
                <c:pt idx="27">
                  <c:v>581</c:v>
                </c:pt>
                <c:pt idx="28">
                  <c:v>709</c:v>
                </c:pt>
              </c:numCache>
            </c:numRef>
          </c:val>
          <c:smooth val="0"/>
          <c:extLst>
            <c:ext xmlns:c16="http://schemas.microsoft.com/office/drawing/2014/chart" uri="{C3380CC4-5D6E-409C-BE32-E72D297353CC}">
              <c16:uniqueId val="{00000002-34C2-498B-8135-956BBA1741F2}"/>
            </c:ext>
          </c:extLst>
        </c:ser>
        <c:dLbls>
          <c:showLegendKey val="0"/>
          <c:showVal val="0"/>
          <c:showCatName val="0"/>
          <c:showSerName val="0"/>
          <c:showPercent val="0"/>
          <c:showBubbleSize val="0"/>
        </c:dLbls>
        <c:smooth val="0"/>
        <c:axId val="616915200"/>
        <c:axId val="616922416"/>
      </c:lineChart>
      <c:catAx>
        <c:axId val="61691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922416"/>
        <c:crosses val="autoZero"/>
        <c:auto val="1"/>
        <c:lblAlgn val="ctr"/>
        <c:lblOffset val="100"/>
        <c:noMultiLvlLbl val="0"/>
      </c:catAx>
      <c:valAx>
        <c:axId val="616922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91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Proportion</a:t>
            </a:r>
            <a:r>
              <a:rPr lang="en-AU" b="1" baseline="0"/>
              <a:t> affordable purchase for very low income households Central Coast 2001 - 2021</a:t>
            </a:r>
          </a:p>
          <a:p>
            <a:pPr>
              <a:defRPr/>
            </a:pPr>
            <a:endParaRPr lang="en-A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'affordable purchase'!$A$4</c:f>
              <c:strCache>
                <c:ptCount val="1"/>
                <c:pt idx="0">
                  <c:v>Central Coast</c:v>
                </c:pt>
              </c:strCache>
            </c:strRef>
          </c:tx>
          <c:spPr>
            <a:ln w="28575" cap="rnd">
              <a:solidFill>
                <a:srgbClr val="0070C0"/>
              </a:solidFill>
              <a:round/>
            </a:ln>
            <a:effectLst/>
          </c:spPr>
          <c:marker>
            <c:symbol val="none"/>
          </c:marker>
          <c:cat>
            <c:numRef>
              <c:f>'affordable purchase'!$B$3:$N$3</c:f>
              <c:numCache>
                <c:formatCode>mmm\-yy</c:formatCode>
                <c:ptCount val="13"/>
                <c:pt idx="0">
                  <c:v>37043</c:v>
                </c:pt>
                <c:pt idx="1">
                  <c:v>38869</c:v>
                </c:pt>
                <c:pt idx="2">
                  <c:v>40695</c:v>
                </c:pt>
                <c:pt idx="3">
                  <c:v>41061</c:v>
                </c:pt>
                <c:pt idx="4">
                  <c:v>41426</c:v>
                </c:pt>
                <c:pt idx="5">
                  <c:v>41791</c:v>
                </c:pt>
                <c:pt idx="6">
                  <c:v>42156</c:v>
                </c:pt>
                <c:pt idx="7">
                  <c:v>42522</c:v>
                </c:pt>
                <c:pt idx="8">
                  <c:v>42979</c:v>
                </c:pt>
                <c:pt idx="9">
                  <c:v>43252</c:v>
                </c:pt>
                <c:pt idx="10">
                  <c:v>43617</c:v>
                </c:pt>
                <c:pt idx="11">
                  <c:v>43983</c:v>
                </c:pt>
                <c:pt idx="12">
                  <c:v>44348</c:v>
                </c:pt>
              </c:numCache>
            </c:numRef>
          </c:cat>
          <c:val>
            <c:numRef>
              <c:f>'affordable purchase'!$B$4:$N$4</c:f>
              <c:numCache>
                <c:formatCode>0.0</c:formatCode>
                <c:ptCount val="13"/>
                <c:pt idx="0">
                  <c:v>0</c:v>
                </c:pt>
                <c:pt idx="1">
                  <c:v>0</c:v>
                </c:pt>
                <c:pt idx="2">
                  <c:v>0</c:v>
                </c:pt>
                <c:pt idx="3">
                  <c:v>0</c:v>
                </c:pt>
                <c:pt idx="4">
                  <c:v>0</c:v>
                </c:pt>
                <c:pt idx="5">
                  <c:v>0</c:v>
                </c:pt>
                <c:pt idx="6">
                  <c:v>0</c:v>
                </c:pt>
                <c:pt idx="7">
                  <c:v>0</c:v>
                </c:pt>
                <c:pt idx="8">
                  <c:v>2.1046643913538112</c:v>
                </c:pt>
                <c:pt idx="9">
                  <c:v>0</c:v>
                </c:pt>
                <c:pt idx="10">
                  <c:v>0</c:v>
                </c:pt>
                <c:pt idx="11">
                  <c:v>1.0743801652892562</c:v>
                </c:pt>
                <c:pt idx="12">
                  <c:v>0</c:v>
                </c:pt>
              </c:numCache>
            </c:numRef>
          </c:val>
          <c:smooth val="0"/>
          <c:extLst>
            <c:ext xmlns:c16="http://schemas.microsoft.com/office/drawing/2014/chart" uri="{C3380CC4-5D6E-409C-BE32-E72D297353CC}">
              <c16:uniqueId val="{00000000-E2A8-4B21-9EE0-28F7309CA194}"/>
            </c:ext>
          </c:extLst>
        </c:ser>
        <c:ser>
          <c:idx val="1"/>
          <c:order val="1"/>
          <c:tx>
            <c:strRef>
              <c:f>'affordable purchase'!$A$5</c:f>
              <c:strCache>
                <c:ptCount val="1"/>
                <c:pt idx="0">
                  <c:v>Greater Sydney</c:v>
                </c:pt>
              </c:strCache>
            </c:strRef>
          </c:tx>
          <c:spPr>
            <a:ln w="28575" cap="rnd">
              <a:solidFill>
                <a:srgbClr val="00FF00"/>
              </a:solidFill>
              <a:round/>
            </a:ln>
            <a:effectLst/>
          </c:spPr>
          <c:marker>
            <c:symbol val="none"/>
          </c:marker>
          <c:cat>
            <c:numRef>
              <c:f>'affordable purchase'!$B$3:$N$3</c:f>
              <c:numCache>
                <c:formatCode>mmm\-yy</c:formatCode>
                <c:ptCount val="13"/>
                <c:pt idx="0">
                  <c:v>37043</c:v>
                </c:pt>
                <c:pt idx="1">
                  <c:v>38869</c:v>
                </c:pt>
                <c:pt idx="2">
                  <c:v>40695</c:v>
                </c:pt>
                <c:pt idx="3">
                  <c:v>41061</c:v>
                </c:pt>
                <c:pt idx="4">
                  <c:v>41426</c:v>
                </c:pt>
                <c:pt idx="5">
                  <c:v>41791</c:v>
                </c:pt>
                <c:pt idx="6">
                  <c:v>42156</c:v>
                </c:pt>
                <c:pt idx="7">
                  <c:v>42522</c:v>
                </c:pt>
                <c:pt idx="8">
                  <c:v>42979</c:v>
                </c:pt>
                <c:pt idx="9">
                  <c:v>43252</c:v>
                </c:pt>
                <c:pt idx="10">
                  <c:v>43617</c:v>
                </c:pt>
                <c:pt idx="11">
                  <c:v>43983</c:v>
                </c:pt>
                <c:pt idx="12">
                  <c:v>44348</c:v>
                </c:pt>
              </c:numCache>
            </c:numRef>
          </c:cat>
          <c:val>
            <c:numRef>
              <c:f>'affordable purchase'!$B$5:$N$5</c:f>
              <c:numCache>
                <c:formatCode>0.0</c:formatCode>
                <c:ptCount val="13"/>
                <c:pt idx="0">
                  <c:v>0.89821690604295434</c:v>
                </c:pt>
                <c:pt idx="1">
                  <c:v>6.7376713571224961E-2</c:v>
                </c:pt>
                <c:pt idx="2">
                  <c:v>0.10562052055827989</c:v>
                </c:pt>
                <c:pt idx="3">
                  <c:v>5.0588086505627926E-2</c:v>
                </c:pt>
                <c:pt idx="4">
                  <c:v>3.1764366156511695E-2</c:v>
                </c:pt>
                <c:pt idx="5">
                  <c:v>4.8526022079340043E-2</c:v>
                </c:pt>
                <c:pt idx="6">
                  <c:v>0.1</c:v>
                </c:pt>
                <c:pt idx="7">
                  <c:v>2.8675009729021157E-2</c:v>
                </c:pt>
                <c:pt idx="8">
                  <c:v>1.1416427794800832</c:v>
                </c:pt>
                <c:pt idx="9">
                  <c:v>0</c:v>
                </c:pt>
                <c:pt idx="10">
                  <c:v>0</c:v>
                </c:pt>
                <c:pt idx="11">
                  <c:v>9.9130700015250872E-2</c:v>
                </c:pt>
                <c:pt idx="12">
                  <c:v>0</c:v>
                </c:pt>
              </c:numCache>
            </c:numRef>
          </c:val>
          <c:smooth val="0"/>
          <c:extLst>
            <c:ext xmlns:c16="http://schemas.microsoft.com/office/drawing/2014/chart" uri="{C3380CC4-5D6E-409C-BE32-E72D297353CC}">
              <c16:uniqueId val="{00000001-E2A8-4B21-9EE0-28F7309CA194}"/>
            </c:ext>
          </c:extLst>
        </c:ser>
        <c:ser>
          <c:idx val="2"/>
          <c:order val="2"/>
          <c:tx>
            <c:strRef>
              <c:f>'affordable purchase'!$A$6</c:f>
              <c:strCache>
                <c:ptCount val="1"/>
                <c:pt idx="0">
                  <c:v>Rest of NSW</c:v>
                </c:pt>
              </c:strCache>
            </c:strRef>
          </c:tx>
          <c:spPr>
            <a:ln w="28575" cap="rnd">
              <a:solidFill>
                <a:srgbClr val="FF0000"/>
              </a:solidFill>
              <a:round/>
            </a:ln>
            <a:effectLst/>
          </c:spPr>
          <c:marker>
            <c:symbol val="none"/>
          </c:marker>
          <c:cat>
            <c:numRef>
              <c:f>'affordable purchase'!$B$3:$N$3</c:f>
              <c:numCache>
                <c:formatCode>mmm\-yy</c:formatCode>
                <c:ptCount val="13"/>
                <c:pt idx="0">
                  <c:v>37043</c:v>
                </c:pt>
                <c:pt idx="1">
                  <c:v>38869</c:v>
                </c:pt>
                <c:pt idx="2">
                  <c:v>40695</c:v>
                </c:pt>
                <c:pt idx="3">
                  <c:v>41061</c:v>
                </c:pt>
                <c:pt idx="4">
                  <c:v>41426</c:v>
                </c:pt>
                <c:pt idx="5">
                  <c:v>41791</c:v>
                </c:pt>
                <c:pt idx="6">
                  <c:v>42156</c:v>
                </c:pt>
                <c:pt idx="7">
                  <c:v>42522</c:v>
                </c:pt>
                <c:pt idx="8">
                  <c:v>42979</c:v>
                </c:pt>
                <c:pt idx="9">
                  <c:v>43252</c:v>
                </c:pt>
                <c:pt idx="10">
                  <c:v>43617</c:v>
                </c:pt>
                <c:pt idx="11">
                  <c:v>43983</c:v>
                </c:pt>
                <c:pt idx="12">
                  <c:v>44348</c:v>
                </c:pt>
              </c:numCache>
            </c:numRef>
          </c:cat>
          <c:val>
            <c:numRef>
              <c:f>'affordable purchase'!$B$6:$N$6</c:f>
              <c:numCache>
                <c:formatCode>0.0</c:formatCode>
                <c:ptCount val="13"/>
                <c:pt idx="0">
                  <c:v>6.8858946030645694</c:v>
                </c:pt>
                <c:pt idx="1">
                  <c:v>5.0580997949419002</c:v>
                </c:pt>
                <c:pt idx="2">
                  <c:v>3.305529811553908</c:v>
                </c:pt>
                <c:pt idx="3">
                  <c:v>4.5073678127708758</c:v>
                </c:pt>
                <c:pt idx="4">
                  <c:v>5.233896782164317</c:v>
                </c:pt>
                <c:pt idx="5">
                  <c:v>5.9410500460546514</c:v>
                </c:pt>
                <c:pt idx="6">
                  <c:v>6.6</c:v>
                </c:pt>
                <c:pt idx="7">
                  <c:v>6.7716841695838195</c:v>
                </c:pt>
                <c:pt idx="8">
                  <c:v>9.0065063235616645</c:v>
                </c:pt>
                <c:pt idx="9">
                  <c:v>6.4310183743382128</c:v>
                </c:pt>
                <c:pt idx="10">
                  <c:v>6.5347664795966907</c:v>
                </c:pt>
                <c:pt idx="11">
                  <c:v>8.7175638001286728</c:v>
                </c:pt>
                <c:pt idx="12">
                  <c:v>7.5</c:v>
                </c:pt>
              </c:numCache>
            </c:numRef>
          </c:val>
          <c:smooth val="0"/>
          <c:extLst>
            <c:ext xmlns:c16="http://schemas.microsoft.com/office/drawing/2014/chart" uri="{C3380CC4-5D6E-409C-BE32-E72D297353CC}">
              <c16:uniqueId val="{00000002-E2A8-4B21-9EE0-28F7309CA194}"/>
            </c:ext>
          </c:extLst>
        </c:ser>
        <c:ser>
          <c:idx val="3"/>
          <c:order val="3"/>
          <c:tx>
            <c:strRef>
              <c:f>'affordable purchase'!$A$7</c:f>
              <c:strCache>
                <c:ptCount val="1"/>
                <c:pt idx="0">
                  <c:v>New South Wales</c:v>
                </c:pt>
              </c:strCache>
            </c:strRef>
          </c:tx>
          <c:spPr>
            <a:ln w="28575" cap="rnd">
              <a:solidFill>
                <a:schemeClr val="accent4"/>
              </a:solidFill>
              <a:round/>
            </a:ln>
            <a:effectLst/>
          </c:spPr>
          <c:marker>
            <c:symbol val="none"/>
          </c:marker>
          <c:cat>
            <c:numRef>
              <c:f>'affordable purchase'!$B$3:$N$3</c:f>
              <c:numCache>
                <c:formatCode>mmm\-yy</c:formatCode>
                <c:ptCount val="13"/>
                <c:pt idx="0">
                  <c:v>37043</c:v>
                </c:pt>
                <c:pt idx="1">
                  <c:v>38869</c:v>
                </c:pt>
                <c:pt idx="2">
                  <c:v>40695</c:v>
                </c:pt>
                <c:pt idx="3">
                  <c:v>41061</c:v>
                </c:pt>
                <c:pt idx="4">
                  <c:v>41426</c:v>
                </c:pt>
                <c:pt idx="5">
                  <c:v>41791</c:v>
                </c:pt>
                <c:pt idx="6">
                  <c:v>42156</c:v>
                </c:pt>
                <c:pt idx="7">
                  <c:v>42522</c:v>
                </c:pt>
                <c:pt idx="8">
                  <c:v>42979</c:v>
                </c:pt>
                <c:pt idx="9">
                  <c:v>43252</c:v>
                </c:pt>
                <c:pt idx="10">
                  <c:v>43617</c:v>
                </c:pt>
                <c:pt idx="11">
                  <c:v>43983</c:v>
                </c:pt>
                <c:pt idx="12">
                  <c:v>44348</c:v>
                </c:pt>
              </c:numCache>
            </c:numRef>
          </c:cat>
          <c:val>
            <c:numRef>
              <c:f>'affordable purchase'!$B$7:$N$7</c:f>
              <c:numCache>
                <c:formatCode>0.0</c:formatCode>
                <c:ptCount val="13"/>
                <c:pt idx="0">
                  <c:v>17.984751699979395</c:v>
                </c:pt>
                <c:pt idx="1">
                  <c:v>2.0233217774976362</c:v>
                </c:pt>
                <c:pt idx="2">
                  <c:v>1.1556591819149475</c:v>
                </c:pt>
                <c:pt idx="3">
                  <c:v>1.6267140784337768</c:v>
                </c:pt>
                <c:pt idx="4">
                  <c:v>1.7983484943837367</c:v>
                </c:pt>
                <c:pt idx="5">
                  <c:v>1.9438089438254029</c:v>
                </c:pt>
                <c:pt idx="6">
                  <c:v>2.4</c:v>
                </c:pt>
                <c:pt idx="7">
                  <c:v>2.3449146510159955</c:v>
                </c:pt>
                <c:pt idx="8">
                  <c:v>4.3139798897178077</c:v>
                </c:pt>
                <c:pt idx="9">
                  <c:v>2.655350885652747</c:v>
                </c:pt>
                <c:pt idx="10">
                  <c:v>2.5595171565888006</c:v>
                </c:pt>
                <c:pt idx="11">
                  <c:v>3.6809269162210341</c:v>
                </c:pt>
                <c:pt idx="12">
                  <c:v>2.8</c:v>
                </c:pt>
              </c:numCache>
            </c:numRef>
          </c:val>
          <c:smooth val="0"/>
          <c:extLst>
            <c:ext xmlns:c16="http://schemas.microsoft.com/office/drawing/2014/chart" uri="{C3380CC4-5D6E-409C-BE32-E72D297353CC}">
              <c16:uniqueId val="{00000003-E2A8-4B21-9EE0-28F7309CA194}"/>
            </c:ext>
          </c:extLst>
        </c:ser>
        <c:dLbls>
          <c:showLegendKey val="0"/>
          <c:showVal val="0"/>
          <c:showCatName val="0"/>
          <c:showSerName val="0"/>
          <c:showPercent val="0"/>
          <c:showBubbleSize val="0"/>
        </c:dLbls>
        <c:smooth val="0"/>
        <c:axId val="232014808"/>
        <c:axId val="232010216"/>
      </c:lineChart>
      <c:dateAx>
        <c:axId val="23201480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10216"/>
        <c:crosses val="autoZero"/>
        <c:auto val="1"/>
        <c:lblOffset val="100"/>
        <c:baseTimeUnit val="months"/>
      </c:dateAx>
      <c:valAx>
        <c:axId val="2320102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14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Fact_sheet_external_FACS</Template>
  <TotalTime>851</TotalTime>
  <Pages>16</Pages>
  <Words>2891</Words>
  <Characters>14903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17759</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Coast - What's happening in the housing market - final draft</dc:title>
  <dc:creator>Laura Yan Guo</dc:creator>
  <cp:lastModifiedBy>JOSHUA YOUKHANA</cp:lastModifiedBy>
  <cp:revision>85</cp:revision>
  <cp:lastPrinted>1900-12-31T14:00:00Z</cp:lastPrinted>
  <dcterms:created xsi:type="dcterms:W3CDTF">2022-12-13T22:29:00Z</dcterms:created>
  <dcterms:modified xsi:type="dcterms:W3CDTF">2023-09-11T22:36:00Z</dcterms:modified>
</cp:coreProperties>
</file>