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FA5E" w14:textId="77777777" w:rsidR="00736BFA" w:rsidRPr="0000436C" w:rsidRDefault="00E76895" w:rsidP="00736BFA">
      <w:pPr>
        <w:pStyle w:val="Heading1"/>
        <w:rPr>
          <w:b/>
          <w:sz w:val="40"/>
          <w:szCs w:val="40"/>
        </w:rPr>
      </w:pPr>
      <w:r w:rsidRPr="0000436C">
        <w:rPr>
          <w:b/>
          <w:sz w:val="40"/>
          <w:szCs w:val="40"/>
        </w:rPr>
        <w:t>South District – What’s the Housing Demand</w:t>
      </w:r>
    </w:p>
    <w:p w14:paraId="75E84FC9" w14:textId="089237CA" w:rsidR="00BD1D1E" w:rsidRDefault="00BD1D1E" w:rsidP="00BD1D1E">
      <w:pPr>
        <w:rPr>
          <w:sz w:val="22"/>
          <w:szCs w:val="22"/>
        </w:rPr>
      </w:pPr>
      <w:r>
        <w:rPr>
          <w:sz w:val="22"/>
          <w:szCs w:val="22"/>
        </w:rPr>
        <w:t>This Housing Snapshot looks at aspects of housing demand in South District, particularly from the 2016 Census to the 2021 Census – including population, age profile, household type, household size, income (change in low, moderate and high income households and low income rental households), homelessness</w:t>
      </w:r>
      <w:r w:rsidR="00750FA5">
        <w:rPr>
          <w:sz w:val="22"/>
          <w:szCs w:val="22"/>
        </w:rPr>
        <w:t xml:space="preserve"> </w:t>
      </w:r>
      <w:r>
        <w:rPr>
          <w:sz w:val="22"/>
          <w:szCs w:val="22"/>
        </w:rPr>
        <w:t xml:space="preserve">and people with disability. </w:t>
      </w:r>
    </w:p>
    <w:p w14:paraId="6C49C615" w14:textId="77777777" w:rsidR="0000436C" w:rsidRPr="00612D7E" w:rsidRDefault="00BD1D1E" w:rsidP="0000436C">
      <w:pPr>
        <w:rPr>
          <w:sz w:val="22"/>
          <w:szCs w:val="22"/>
        </w:rPr>
      </w:pPr>
      <w:r w:rsidRPr="0099366D">
        <w:rPr>
          <w:sz w:val="22"/>
          <w:szCs w:val="22"/>
        </w:rPr>
        <w:t xml:space="preserve">There have been challenges across Australia and in this </w:t>
      </w:r>
      <w:r>
        <w:rPr>
          <w:sz w:val="22"/>
          <w:szCs w:val="22"/>
        </w:rPr>
        <w:t>district</w:t>
      </w:r>
      <w:r w:rsidRPr="0099366D">
        <w:rPr>
          <w:sz w:val="22"/>
          <w:szCs w:val="22"/>
        </w:rPr>
        <w:t xml:space="preserve"> since the 2016 Census, including the pandemic</w:t>
      </w:r>
      <w:r>
        <w:rPr>
          <w:sz w:val="22"/>
          <w:szCs w:val="22"/>
        </w:rPr>
        <w:t xml:space="preserve"> and subsequent surge in immigration</w:t>
      </w:r>
      <w:r w:rsidRPr="0099366D">
        <w:rPr>
          <w:sz w:val="22"/>
          <w:szCs w:val="22"/>
        </w:rPr>
        <w:t xml:space="preserve"> - which have impacted the community and the demand for housing</w:t>
      </w:r>
      <w:r>
        <w:rPr>
          <w:sz w:val="22"/>
          <w:szCs w:val="22"/>
        </w:rPr>
        <w:t xml:space="preserve">.  </w:t>
      </w:r>
      <w:r w:rsidR="0000436C" w:rsidRPr="00BD1D1E">
        <w:rPr>
          <w:sz w:val="22"/>
          <w:szCs w:val="22"/>
        </w:rPr>
        <w:t>Subsequent cost of living pressures, including inflation, rising interest rates and tightening of the rental market also have significant impacts on the demand for housing.</w:t>
      </w:r>
    </w:p>
    <w:p w14:paraId="6540FB67" w14:textId="77777777" w:rsidR="0000436C" w:rsidRPr="0000436C" w:rsidRDefault="0000436C" w:rsidP="0007114C">
      <w:pPr>
        <w:pStyle w:val="Heading2"/>
        <w:rPr>
          <w:b w:val="0"/>
          <w:color w:val="auto"/>
          <w:sz w:val="22"/>
          <w:szCs w:val="22"/>
        </w:rPr>
      </w:pPr>
    </w:p>
    <w:p w14:paraId="08F98E4A" w14:textId="77777777" w:rsidR="00483381" w:rsidRDefault="00483381" w:rsidP="0007114C">
      <w:pPr>
        <w:pStyle w:val="Heading2"/>
      </w:pPr>
      <w:r>
        <w:t>Population</w:t>
      </w:r>
    </w:p>
    <w:p w14:paraId="68D467A0" w14:textId="77777777" w:rsidR="006A6B50" w:rsidRDefault="006A6B50" w:rsidP="006A6B50">
      <w:pPr>
        <w:pStyle w:val="ListParagraph"/>
        <w:numPr>
          <w:ilvl w:val="0"/>
          <w:numId w:val="16"/>
        </w:numPr>
        <w:rPr>
          <w:sz w:val="22"/>
          <w:szCs w:val="22"/>
        </w:rPr>
      </w:pPr>
      <w:r>
        <w:rPr>
          <w:sz w:val="22"/>
          <w:szCs w:val="22"/>
        </w:rPr>
        <w:t>Changes in population will impact on the demand for housing.</w:t>
      </w:r>
    </w:p>
    <w:p w14:paraId="37984E8D" w14:textId="77777777" w:rsidR="006A6B50" w:rsidRDefault="006A6B50" w:rsidP="006A6B50">
      <w:pPr>
        <w:pStyle w:val="ListParagraph"/>
        <w:numPr>
          <w:ilvl w:val="0"/>
          <w:numId w:val="16"/>
        </w:numPr>
        <w:rPr>
          <w:sz w:val="22"/>
          <w:szCs w:val="22"/>
        </w:rPr>
      </w:pPr>
      <w:r w:rsidRPr="0035336A">
        <w:rPr>
          <w:sz w:val="22"/>
          <w:szCs w:val="22"/>
        </w:rPr>
        <w:t xml:space="preserve">Between 2016 and 2021, the population of </w:t>
      </w:r>
      <w:r w:rsidR="009E704A">
        <w:rPr>
          <w:sz w:val="22"/>
          <w:szCs w:val="22"/>
        </w:rPr>
        <w:t>South District</w:t>
      </w:r>
      <w:r w:rsidRPr="0035336A">
        <w:rPr>
          <w:sz w:val="22"/>
          <w:szCs w:val="22"/>
        </w:rPr>
        <w:t xml:space="preserve"> </w:t>
      </w:r>
      <w:r w:rsidR="00EA1710">
        <w:rPr>
          <w:sz w:val="22"/>
          <w:szCs w:val="22"/>
        </w:rPr>
        <w:t xml:space="preserve">increased </w:t>
      </w:r>
      <w:r w:rsidRPr="0035336A">
        <w:rPr>
          <w:sz w:val="22"/>
          <w:szCs w:val="22"/>
        </w:rPr>
        <w:t xml:space="preserve">by </w:t>
      </w:r>
      <w:r w:rsidR="00E26AC1">
        <w:rPr>
          <w:sz w:val="22"/>
          <w:szCs w:val="22"/>
        </w:rPr>
        <w:t>5.9</w:t>
      </w:r>
      <w:r>
        <w:rPr>
          <w:sz w:val="22"/>
          <w:szCs w:val="22"/>
        </w:rPr>
        <w:t xml:space="preserve">% or </w:t>
      </w:r>
      <w:r w:rsidR="00E26AC1">
        <w:rPr>
          <w:sz w:val="22"/>
          <w:szCs w:val="22"/>
        </w:rPr>
        <w:t>41,888</w:t>
      </w:r>
      <w:r w:rsidRPr="0035336A">
        <w:rPr>
          <w:sz w:val="22"/>
          <w:szCs w:val="22"/>
        </w:rPr>
        <w:t>, from</w:t>
      </w:r>
      <w:r>
        <w:rPr>
          <w:sz w:val="22"/>
          <w:szCs w:val="22"/>
        </w:rPr>
        <w:t xml:space="preserve"> </w:t>
      </w:r>
      <w:r w:rsidR="009E704A">
        <w:rPr>
          <w:sz w:val="22"/>
          <w:szCs w:val="22"/>
        </w:rPr>
        <w:t>711,</w:t>
      </w:r>
      <w:r w:rsidR="00E26AC1">
        <w:rPr>
          <w:sz w:val="22"/>
          <w:szCs w:val="22"/>
        </w:rPr>
        <w:t>60</w:t>
      </w:r>
      <w:r w:rsidR="009E704A">
        <w:rPr>
          <w:sz w:val="22"/>
          <w:szCs w:val="22"/>
        </w:rPr>
        <w:t>3</w:t>
      </w:r>
      <w:r>
        <w:rPr>
          <w:sz w:val="22"/>
          <w:szCs w:val="22"/>
        </w:rPr>
        <w:t xml:space="preserve"> to </w:t>
      </w:r>
      <w:r w:rsidR="009E704A">
        <w:rPr>
          <w:sz w:val="22"/>
          <w:szCs w:val="22"/>
        </w:rPr>
        <w:t>7</w:t>
      </w:r>
      <w:r w:rsidR="00E26AC1">
        <w:rPr>
          <w:sz w:val="22"/>
          <w:szCs w:val="22"/>
        </w:rPr>
        <w:t>5</w:t>
      </w:r>
      <w:r w:rsidR="009E704A">
        <w:rPr>
          <w:sz w:val="22"/>
          <w:szCs w:val="22"/>
        </w:rPr>
        <w:t>3,</w:t>
      </w:r>
      <w:r w:rsidR="00E26AC1">
        <w:rPr>
          <w:sz w:val="22"/>
          <w:szCs w:val="22"/>
        </w:rPr>
        <w:t>491</w:t>
      </w:r>
      <w:r w:rsidR="00A9535C">
        <w:rPr>
          <w:sz w:val="22"/>
          <w:szCs w:val="22"/>
        </w:rPr>
        <w:t xml:space="preserve"> (using ABS Census population data)</w:t>
      </w:r>
      <w:r>
        <w:rPr>
          <w:sz w:val="22"/>
          <w:szCs w:val="22"/>
        </w:rPr>
        <w:t>.</w:t>
      </w:r>
    </w:p>
    <w:p w14:paraId="690A4080" w14:textId="77777777" w:rsidR="006A6B50" w:rsidRPr="00A206C1" w:rsidRDefault="006A6B50" w:rsidP="006A6B50">
      <w:pPr>
        <w:pStyle w:val="ListParagraph"/>
        <w:numPr>
          <w:ilvl w:val="0"/>
          <w:numId w:val="16"/>
        </w:numPr>
        <w:rPr>
          <w:sz w:val="22"/>
          <w:szCs w:val="22"/>
        </w:rPr>
      </w:pPr>
      <w:r w:rsidRPr="00A206C1">
        <w:rPr>
          <w:sz w:val="22"/>
          <w:szCs w:val="22"/>
        </w:rPr>
        <w:t xml:space="preserve">However, not every LGA in the </w:t>
      </w:r>
      <w:r>
        <w:rPr>
          <w:sz w:val="22"/>
          <w:szCs w:val="22"/>
        </w:rPr>
        <w:t>District</w:t>
      </w:r>
      <w:r w:rsidRPr="00A206C1">
        <w:rPr>
          <w:sz w:val="22"/>
          <w:szCs w:val="22"/>
        </w:rPr>
        <w:t xml:space="preserve"> has grown at the same rate.</w:t>
      </w:r>
    </w:p>
    <w:p w14:paraId="49596111" w14:textId="77777777" w:rsidR="006A6B50" w:rsidRDefault="006A6B50" w:rsidP="006A6B50">
      <w:pPr>
        <w:pStyle w:val="ListParagraph"/>
        <w:numPr>
          <w:ilvl w:val="0"/>
          <w:numId w:val="16"/>
        </w:numPr>
        <w:rPr>
          <w:sz w:val="22"/>
          <w:szCs w:val="22"/>
        </w:rPr>
      </w:pPr>
      <w:r>
        <w:rPr>
          <w:sz w:val="22"/>
          <w:szCs w:val="22"/>
        </w:rPr>
        <w:t xml:space="preserve">Changes in population between 2016 and 2021 within </w:t>
      </w:r>
      <w:r w:rsidR="00171939">
        <w:rPr>
          <w:sz w:val="22"/>
          <w:szCs w:val="22"/>
        </w:rPr>
        <w:t>South District</w:t>
      </w:r>
      <w:r>
        <w:rPr>
          <w:sz w:val="22"/>
          <w:szCs w:val="22"/>
        </w:rPr>
        <w:t xml:space="preserve"> ranged from a </w:t>
      </w:r>
      <w:r w:rsidR="00E26AC1">
        <w:rPr>
          <w:sz w:val="22"/>
          <w:szCs w:val="22"/>
        </w:rPr>
        <w:t>7.2</w:t>
      </w:r>
      <w:r w:rsidRPr="00365818">
        <w:rPr>
          <w:sz w:val="22"/>
          <w:szCs w:val="22"/>
        </w:rPr>
        <w:t>%</w:t>
      </w:r>
      <w:r>
        <w:rPr>
          <w:sz w:val="22"/>
          <w:szCs w:val="22"/>
        </w:rPr>
        <w:t xml:space="preserve"> increase</w:t>
      </w:r>
      <w:r w:rsidRPr="00365818">
        <w:rPr>
          <w:sz w:val="22"/>
          <w:szCs w:val="22"/>
        </w:rPr>
        <w:t xml:space="preserve"> in </w:t>
      </w:r>
      <w:r w:rsidR="00171939">
        <w:rPr>
          <w:sz w:val="22"/>
          <w:szCs w:val="22"/>
        </w:rPr>
        <w:t>Canterbury-Bankstown</w:t>
      </w:r>
      <w:r w:rsidRPr="00365818">
        <w:rPr>
          <w:sz w:val="22"/>
          <w:szCs w:val="22"/>
        </w:rPr>
        <w:t xml:space="preserve"> to </w:t>
      </w:r>
      <w:r>
        <w:rPr>
          <w:sz w:val="22"/>
          <w:szCs w:val="22"/>
        </w:rPr>
        <w:t xml:space="preserve">a </w:t>
      </w:r>
      <w:r w:rsidR="00E26AC1">
        <w:rPr>
          <w:sz w:val="22"/>
          <w:szCs w:val="22"/>
        </w:rPr>
        <w:t>3.6</w:t>
      </w:r>
      <w:r w:rsidRPr="00365818">
        <w:rPr>
          <w:sz w:val="22"/>
          <w:szCs w:val="22"/>
        </w:rPr>
        <w:t>%</w:t>
      </w:r>
      <w:r>
        <w:rPr>
          <w:sz w:val="22"/>
          <w:szCs w:val="22"/>
        </w:rPr>
        <w:t xml:space="preserve"> increase</w:t>
      </w:r>
      <w:r w:rsidRPr="00365818">
        <w:rPr>
          <w:sz w:val="22"/>
          <w:szCs w:val="22"/>
        </w:rPr>
        <w:t xml:space="preserve"> in</w:t>
      </w:r>
      <w:r>
        <w:rPr>
          <w:sz w:val="22"/>
          <w:szCs w:val="22"/>
        </w:rPr>
        <w:t xml:space="preserve"> </w:t>
      </w:r>
      <w:r w:rsidR="00E26AC1">
        <w:rPr>
          <w:sz w:val="22"/>
          <w:szCs w:val="22"/>
        </w:rPr>
        <w:t>Georges River</w:t>
      </w:r>
      <w:r w:rsidRPr="00365818">
        <w:rPr>
          <w:sz w:val="22"/>
          <w:szCs w:val="22"/>
        </w:rPr>
        <w:t xml:space="preserve">.  </w:t>
      </w:r>
    </w:p>
    <w:p w14:paraId="04ED989B" w14:textId="77777777" w:rsidR="006A6B50" w:rsidRDefault="006A6B50" w:rsidP="006A6B50">
      <w:pPr>
        <w:pStyle w:val="ListParagraph"/>
        <w:numPr>
          <w:ilvl w:val="0"/>
          <w:numId w:val="16"/>
        </w:numPr>
        <w:rPr>
          <w:sz w:val="22"/>
          <w:szCs w:val="22"/>
        </w:rPr>
      </w:pPr>
      <w:r w:rsidRPr="00365818">
        <w:rPr>
          <w:sz w:val="22"/>
          <w:szCs w:val="22"/>
        </w:rPr>
        <w:t xml:space="preserve">In terms of numbers, </w:t>
      </w:r>
      <w:r w:rsidR="002A3CA0">
        <w:rPr>
          <w:sz w:val="22"/>
          <w:szCs w:val="22"/>
        </w:rPr>
        <w:t>Canterbury-Bankstown</w:t>
      </w:r>
      <w:r w:rsidRPr="00365818">
        <w:rPr>
          <w:sz w:val="22"/>
          <w:szCs w:val="22"/>
        </w:rPr>
        <w:t xml:space="preserve"> had th</w:t>
      </w:r>
      <w:r>
        <w:rPr>
          <w:sz w:val="22"/>
          <w:szCs w:val="22"/>
        </w:rPr>
        <w:t xml:space="preserve">e largest increase with an additional </w:t>
      </w:r>
      <w:r w:rsidR="00E26AC1">
        <w:rPr>
          <w:sz w:val="22"/>
          <w:szCs w:val="22"/>
        </w:rPr>
        <w:t>24,830</w:t>
      </w:r>
      <w:r>
        <w:rPr>
          <w:sz w:val="22"/>
          <w:szCs w:val="22"/>
        </w:rPr>
        <w:t xml:space="preserve"> people,</w:t>
      </w:r>
      <w:r w:rsidR="002A3CA0">
        <w:rPr>
          <w:sz w:val="22"/>
          <w:szCs w:val="22"/>
        </w:rPr>
        <w:t xml:space="preserve"> while Georges River had the smallest increase with </w:t>
      </w:r>
      <w:r w:rsidR="00E26AC1">
        <w:rPr>
          <w:sz w:val="22"/>
          <w:szCs w:val="22"/>
        </w:rPr>
        <w:t>5,312</w:t>
      </w:r>
      <w:r>
        <w:rPr>
          <w:sz w:val="22"/>
          <w:szCs w:val="22"/>
        </w:rPr>
        <w:t xml:space="preserve">.  </w:t>
      </w:r>
    </w:p>
    <w:p w14:paraId="2A04141A" w14:textId="77777777" w:rsidR="006A6B50" w:rsidRDefault="002A3CA0" w:rsidP="006A6B50">
      <w:pPr>
        <w:pStyle w:val="ListParagraph"/>
        <w:numPr>
          <w:ilvl w:val="0"/>
          <w:numId w:val="16"/>
        </w:numPr>
        <w:rPr>
          <w:sz w:val="22"/>
          <w:szCs w:val="22"/>
        </w:rPr>
      </w:pPr>
      <w:r>
        <w:rPr>
          <w:sz w:val="22"/>
          <w:szCs w:val="22"/>
        </w:rPr>
        <w:t>Canterbury-Bankstown</w:t>
      </w:r>
      <w:r w:rsidR="006A6B50">
        <w:rPr>
          <w:sz w:val="22"/>
          <w:szCs w:val="22"/>
        </w:rPr>
        <w:t xml:space="preserve"> has the largest population in the District in 2021 with </w:t>
      </w:r>
      <w:r w:rsidR="00A928C9">
        <w:rPr>
          <w:sz w:val="22"/>
          <w:szCs w:val="22"/>
        </w:rPr>
        <w:t>371,006</w:t>
      </w:r>
      <w:r w:rsidR="006A6B50">
        <w:rPr>
          <w:sz w:val="22"/>
          <w:szCs w:val="22"/>
        </w:rPr>
        <w:t>.</w:t>
      </w:r>
    </w:p>
    <w:p w14:paraId="79840036" w14:textId="77777777" w:rsidR="006A6B50" w:rsidRPr="00305796" w:rsidRDefault="006A6B50" w:rsidP="006A6B50">
      <w:pPr>
        <w:pStyle w:val="ListParagraph"/>
        <w:numPr>
          <w:ilvl w:val="0"/>
          <w:numId w:val="16"/>
        </w:numPr>
        <w:rPr>
          <w:sz w:val="22"/>
          <w:szCs w:val="22"/>
        </w:rPr>
      </w:pPr>
      <w:r w:rsidRPr="00305796">
        <w:rPr>
          <w:sz w:val="22"/>
        </w:rPr>
        <w:t xml:space="preserve">The Department of Planning and Environment have prepared population projections for </w:t>
      </w:r>
      <w:r w:rsidR="009974DC">
        <w:rPr>
          <w:sz w:val="22"/>
        </w:rPr>
        <w:t>each</w:t>
      </w:r>
      <w:r w:rsidRPr="00305796">
        <w:rPr>
          <w:sz w:val="22"/>
        </w:rPr>
        <w:t xml:space="preserve"> LGA in the district.  </w:t>
      </w:r>
      <w:r w:rsidR="009974DC">
        <w:rPr>
          <w:sz w:val="22"/>
        </w:rPr>
        <w:t>None of the LGAs in South District a</w:t>
      </w:r>
      <w:r w:rsidRPr="00305796">
        <w:rPr>
          <w:sz w:val="22"/>
        </w:rPr>
        <w:t>re forecast to have a higher growth rate than the average for NSW of 0.95% per annum</w:t>
      </w:r>
      <w:r>
        <w:rPr>
          <w:sz w:val="22"/>
        </w:rPr>
        <w:t xml:space="preserve">, </w:t>
      </w:r>
      <w:r w:rsidR="009974DC">
        <w:rPr>
          <w:sz w:val="22"/>
        </w:rPr>
        <w:t>with</w:t>
      </w:r>
      <w:r>
        <w:rPr>
          <w:sz w:val="22"/>
        </w:rPr>
        <w:t xml:space="preserve"> </w:t>
      </w:r>
      <w:r w:rsidR="009974DC">
        <w:rPr>
          <w:sz w:val="22"/>
        </w:rPr>
        <w:t>Canterbury-Bankstown</w:t>
      </w:r>
      <w:r>
        <w:rPr>
          <w:sz w:val="22"/>
        </w:rPr>
        <w:t xml:space="preserve"> (0.</w:t>
      </w:r>
      <w:r w:rsidR="009974DC">
        <w:rPr>
          <w:sz w:val="22"/>
        </w:rPr>
        <w:t>79</w:t>
      </w:r>
      <w:r>
        <w:rPr>
          <w:sz w:val="22"/>
        </w:rPr>
        <w:t xml:space="preserve">%), </w:t>
      </w:r>
      <w:r w:rsidR="009974DC">
        <w:rPr>
          <w:sz w:val="22"/>
        </w:rPr>
        <w:t>Georges River</w:t>
      </w:r>
      <w:r>
        <w:rPr>
          <w:sz w:val="22"/>
        </w:rPr>
        <w:t xml:space="preserve"> (0.6</w:t>
      </w:r>
      <w:r w:rsidR="009974DC">
        <w:rPr>
          <w:sz w:val="22"/>
        </w:rPr>
        <w:t>4</w:t>
      </w:r>
      <w:r>
        <w:rPr>
          <w:sz w:val="22"/>
        </w:rPr>
        <w:t xml:space="preserve">%) and </w:t>
      </w:r>
      <w:r w:rsidR="009974DC">
        <w:rPr>
          <w:sz w:val="22"/>
        </w:rPr>
        <w:t>Sutherland</w:t>
      </w:r>
      <w:r>
        <w:rPr>
          <w:sz w:val="22"/>
        </w:rPr>
        <w:t xml:space="preserve"> (0.</w:t>
      </w:r>
      <w:r w:rsidR="009974DC">
        <w:rPr>
          <w:sz w:val="22"/>
        </w:rPr>
        <w:t>51</w:t>
      </w:r>
      <w:r>
        <w:rPr>
          <w:sz w:val="22"/>
        </w:rPr>
        <w:t xml:space="preserve">%) projected </w:t>
      </w:r>
      <w:r w:rsidR="009974DC">
        <w:rPr>
          <w:sz w:val="22"/>
        </w:rPr>
        <w:t xml:space="preserve">to have lower </w:t>
      </w:r>
      <w:r>
        <w:rPr>
          <w:sz w:val="22"/>
        </w:rPr>
        <w:t>growth rates</w:t>
      </w:r>
      <w:r w:rsidRPr="00305796">
        <w:rPr>
          <w:sz w:val="22"/>
        </w:rPr>
        <w:t xml:space="preserve">.  </w:t>
      </w:r>
    </w:p>
    <w:p w14:paraId="5808FE7E" w14:textId="77777777" w:rsidR="006A6B50" w:rsidRPr="00AC76DE" w:rsidRDefault="006A6B50" w:rsidP="006A6B50">
      <w:pPr>
        <w:pStyle w:val="ListParagraph"/>
        <w:numPr>
          <w:ilvl w:val="0"/>
          <w:numId w:val="16"/>
        </w:numPr>
        <w:rPr>
          <w:sz w:val="22"/>
          <w:szCs w:val="22"/>
        </w:rPr>
      </w:pPr>
      <w:r>
        <w:rPr>
          <w:sz w:val="22"/>
        </w:rPr>
        <w:t xml:space="preserve">Numerically the largest increase in population forecast to 2041 is predicted for </w:t>
      </w:r>
      <w:r w:rsidR="0094584B">
        <w:rPr>
          <w:sz w:val="22"/>
        </w:rPr>
        <w:t>Canterbury-Bankstown</w:t>
      </w:r>
      <w:r>
        <w:rPr>
          <w:sz w:val="22"/>
        </w:rPr>
        <w:t xml:space="preserve"> (</w:t>
      </w:r>
      <w:r w:rsidR="0094584B">
        <w:rPr>
          <w:sz w:val="22"/>
        </w:rPr>
        <w:t>65,034</w:t>
      </w:r>
      <w:r>
        <w:rPr>
          <w:sz w:val="22"/>
        </w:rPr>
        <w:t xml:space="preserve">), followed by </w:t>
      </w:r>
      <w:r w:rsidR="0094584B">
        <w:rPr>
          <w:sz w:val="22"/>
        </w:rPr>
        <w:t>Sutherland</w:t>
      </w:r>
      <w:r>
        <w:rPr>
          <w:sz w:val="22"/>
        </w:rPr>
        <w:t xml:space="preserve"> (</w:t>
      </w:r>
      <w:r w:rsidR="0094584B">
        <w:rPr>
          <w:sz w:val="22"/>
        </w:rPr>
        <w:t>24,994</w:t>
      </w:r>
      <w:r>
        <w:rPr>
          <w:sz w:val="22"/>
        </w:rPr>
        <w:t xml:space="preserve">), and </w:t>
      </w:r>
      <w:r w:rsidR="0094584B">
        <w:rPr>
          <w:sz w:val="22"/>
        </w:rPr>
        <w:t>Georges River</w:t>
      </w:r>
      <w:r>
        <w:rPr>
          <w:sz w:val="22"/>
        </w:rPr>
        <w:t xml:space="preserve"> (</w:t>
      </w:r>
      <w:r w:rsidR="0094584B">
        <w:rPr>
          <w:sz w:val="22"/>
        </w:rPr>
        <w:t>21,672</w:t>
      </w:r>
      <w:r>
        <w:rPr>
          <w:sz w:val="22"/>
        </w:rPr>
        <w:t>).</w:t>
      </w:r>
    </w:p>
    <w:p w14:paraId="72475B95" w14:textId="59FFB31C" w:rsidR="006A6B50" w:rsidRPr="006E7F87" w:rsidRDefault="006A6B50" w:rsidP="00616573">
      <w:pPr>
        <w:pStyle w:val="ListParagraph"/>
        <w:numPr>
          <w:ilvl w:val="0"/>
          <w:numId w:val="16"/>
        </w:numPr>
        <w:rPr>
          <w:sz w:val="22"/>
        </w:rPr>
      </w:pPr>
      <w:r w:rsidRPr="006E7F87">
        <w:rPr>
          <w:sz w:val="22"/>
          <w:szCs w:val="22"/>
        </w:rPr>
        <w:t xml:space="preserve">The table below shows the population change for each </w:t>
      </w:r>
      <w:r w:rsidR="0094584B" w:rsidRPr="006E7F87">
        <w:rPr>
          <w:sz w:val="22"/>
          <w:szCs w:val="22"/>
        </w:rPr>
        <w:t>South District</w:t>
      </w:r>
      <w:r w:rsidRPr="006E7F87">
        <w:rPr>
          <w:sz w:val="22"/>
          <w:szCs w:val="22"/>
        </w:rPr>
        <w:t xml:space="preserve"> LGA and the district as a whole from 2016 to 2021</w:t>
      </w:r>
      <w:r w:rsidR="00A07E72" w:rsidRPr="006E7F87">
        <w:rPr>
          <w:sz w:val="22"/>
          <w:szCs w:val="22"/>
        </w:rPr>
        <w:t>, using ABS Census data</w:t>
      </w:r>
      <w:r w:rsidRPr="006E7F87">
        <w:rPr>
          <w:sz w:val="22"/>
          <w:szCs w:val="22"/>
        </w:rPr>
        <w:t>.</w:t>
      </w:r>
    </w:p>
    <w:p w14:paraId="41872F2F" w14:textId="77777777" w:rsidR="006E7F87" w:rsidRPr="006E7F87" w:rsidRDefault="006E7F87" w:rsidP="006E7F87">
      <w:pPr>
        <w:pStyle w:val="ListParagraph"/>
        <w:ind w:left="360"/>
        <w:rPr>
          <w:sz w:val="22"/>
        </w:rPr>
      </w:pPr>
    </w:p>
    <w:p w14:paraId="3691480F" w14:textId="77777777" w:rsidR="006A6B50" w:rsidRDefault="00A928C9" w:rsidP="006A6B50">
      <w:pPr>
        <w:ind w:left="360"/>
        <w:rPr>
          <w:sz w:val="22"/>
        </w:rPr>
      </w:pPr>
      <w:r w:rsidRPr="00A928C9">
        <w:rPr>
          <w:noProof/>
        </w:rPr>
        <w:drawing>
          <wp:inline distT="0" distB="0" distL="0" distR="0" wp14:anchorId="6E2964EB" wp14:editId="45117505">
            <wp:extent cx="4819650" cy="1343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1343025"/>
                    </a:xfrm>
                    <a:prstGeom prst="rect">
                      <a:avLst/>
                    </a:prstGeom>
                    <a:noFill/>
                    <a:ln>
                      <a:noFill/>
                    </a:ln>
                  </pic:spPr>
                </pic:pic>
              </a:graphicData>
            </a:graphic>
          </wp:inline>
        </w:drawing>
      </w:r>
    </w:p>
    <w:p w14:paraId="7DA09B47" w14:textId="77777777" w:rsidR="001F5B89" w:rsidRPr="0084602D" w:rsidRDefault="00E76895" w:rsidP="0007114C">
      <w:pPr>
        <w:pStyle w:val="Heading2"/>
      </w:pPr>
      <w:r w:rsidRPr="0084602D">
        <w:lastRenderedPageBreak/>
        <w:t>Age</w:t>
      </w:r>
    </w:p>
    <w:p w14:paraId="1571F47F" w14:textId="77777777" w:rsidR="006B5984" w:rsidRPr="006C0768" w:rsidRDefault="006B5984" w:rsidP="006B5984">
      <w:pPr>
        <w:numPr>
          <w:ilvl w:val="0"/>
          <w:numId w:val="11"/>
        </w:numPr>
        <w:spacing w:before="0" w:after="0"/>
        <w:rPr>
          <w:sz w:val="22"/>
          <w:szCs w:val="22"/>
        </w:rPr>
      </w:pPr>
      <w:r w:rsidRPr="0084602D">
        <w:rPr>
          <w:sz w:val="22"/>
          <w:szCs w:val="22"/>
        </w:rPr>
        <w:t xml:space="preserve">The age profile of the </w:t>
      </w:r>
      <w:r w:rsidR="0084602D">
        <w:rPr>
          <w:sz w:val="22"/>
          <w:szCs w:val="22"/>
        </w:rPr>
        <w:t>District</w:t>
      </w:r>
      <w:r w:rsidRPr="0084602D">
        <w:rPr>
          <w:sz w:val="22"/>
          <w:szCs w:val="22"/>
        </w:rPr>
        <w:t xml:space="preserve"> and particularly</w:t>
      </w:r>
      <w:r w:rsidRPr="006C0768">
        <w:rPr>
          <w:sz w:val="22"/>
          <w:szCs w:val="22"/>
        </w:rPr>
        <w:t xml:space="preserve"> each LGA will impact on housing need and demand, including number of bedrooms, affordability, location</w:t>
      </w:r>
      <w:r>
        <w:rPr>
          <w:sz w:val="22"/>
          <w:szCs w:val="22"/>
        </w:rPr>
        <w:t xml:space="preserve"> (for example, in relation to services and facilities)</w:t>
      </w:r>
      <w:r w:rsidRPr="006C0768">
        <w:rPr>
          <w:sz w:val="22"/>
          <w:szCs w:val="22"/>
        </w:rPr>
        <w:t xml:space="preserve"> and dwelling type.</w:t>
      </w:r>
    </w:p>
    <w:p w14:paraId="4FBD6FCC" w14:textId="77777777" w:rsidR="006B5984" w:rsidRDefault="006B5984" w:rsidP="006B5984">
      <w:pPr>
        <w:numPr>
          <w:ilvl w:val="0"/>
          <w:numId w:val="11"/>
        </w:numPr>
        <w:spacing w:before="0" w:after="0"/>
        <w:rPr>
          <w:sz w:val="22"/>
          <w:szCs w:val="22"/>
        </w:rPr>
      </w:pPr>
      <w:r w:rsidRPr="00016BD0">
        <w:rPr>
          <w:sz w:val="22"/>
          <w:szCs w:val="22"/>
        </w:rPr>
        <w:t xml:space="preserve">The median age of the population of the </w:t>
      </w:r>
      <w:r w:rsidR="0084602D">
        <w:rPr>
          <w:sz w:val="22"/>
          <w:szCs w:val="22"/>
        </w:rPr>
        <w:t xml:space="preserve">South District </w:t>
      </w:r>
      <w:r w:rsidRPr="00016BD0">
        <w:rPr>
          <w:sz w:val="22"/>
          <w:szCs w:val="22"/>
        </w:rPr>
        <w:t>LGAs at the 2021 Census ranges between 3</w:t>
      </w:r>
      <w:r w:rsidR="0084602D">
        <w:rPr>
          <w:sz w:val="22"/>
          <w:szCs w:val="22"/>
        </w:rPr>
        <w:t>6</w:t>
      </w:r>
      <w:r>
        <w:rPr>
          <w:sz w:val="22"/>
          <w:szCs w:val="22"/>
        </w:rPr>
        <w:t xml:space="preserve"> years in </w:t>
      </w:r>
      <w:r w:rsidR="0084602D">
        <w:rPr>
          <w:sz w:val="22"/>
          <w:szCs w:val="22"/>
        </w:rPr>
        <w:t>Canterbury-Bankstown</w:t>
      </w:r>
      <w:r w:rsidRPr="00016BD0">
        <w:rPr>
          <w:sz w:val="22"/>
          <w:szCs w:val="22"/>
        </w:rPr>
        <w:t xml:space="preserve"> and </w:t>
      </w:r>
      <w:r>
        <w:rPr>
          <w:sz w:val="22"/>
          <w:szCs w:val="22"/>
        </w:rPr>
        <w:t>4</w:t>
      </w:r>
      <w:r w:rsidR="0084602D">
        <w:rPr>
          <w:sz w:val="22"/>
          <w:szCs w:val="22"/>
        </w:rPr>
        <w:t>1</w:t>
      </w:r>
      <w:r>
        <w:rPr>
          <w:sz w:val="22"/>
          <w:szCs w:val="22"/>
        </w:rPr>
        <w:t xml:space="preserve"> in </w:t>
      </w:r>
      <w:r w:rsidR="0084602D">
        <w:rPr>
          <w:sz w:val="22"/>
          <w:szCs w:val="22"/>
        </w:rPr>
        <w:t>Sutherland</w:t>
      </w:r>
      <w:r>
        <w:rPr>
          <w:sz w:val="22"/>
          <w:szCs w:val="22"/>
        </w:rPr>
        <w:t>, compared to the average of 37 for Greater Sydney</w:t>
      </w:r>
      <w:r w:rsidRPr="00016BD0">
        <w:rPr>
          <w:sz w:val="22"/>
          <w:szCs w:val="22"/>
        </w:rPr>
        <w:t xml:space="preserve">.  </w:t>
      </w:r>
      <w:r w:rsidR="0084602D">
        <w:rPr>
          <w:sz w:val="22"/>
          <w:szCs w:val="22"/>
        </w:rPr>
        <w:t>Georges River has a slightly</w:t>
      </w:r>
      <w:r>
        <w:rPr>
          <w:sz w:val="22"/>
          <w:szCs w:val="22"/>
        </w:rPr>
        <w:t xml:space="preserve"> higher median age than</w:t>
      </w:r>
      <w:r w:rsidR="0084602D">
        <w:rPr>
          <w:sz w:val="22"/>
          <w:szCs w:val="22"/>
        </w:rPr>
        <w:t xml:space="preserve"> the Greater Sydney average with 38</w:t>
      </w:r>
      <w:r>
        <w:rPr>
          <w:sz w:val="22"/>
          <w:szCs w:val="22"/>
        </w:rPr>
        <w:t>.</w:t>
      </w:r>
      <w:r w:rsidR="0084602D">
        <w:rPr>
          <w:sz w:val="22"/>
          <w:szCs w:val="22"/>
        </w:rPr>
        <w:t xml:space="preserve">  </w:t>
      </w:r>
    </w:p>
    <w:p w14:paraId="33A7E087" w14:textId="2A68A1BC" w:rsidR="004D4FE8" w:rsidRDefault="006B5984" w:rsidP="00395E5F">
      <w:pPr>
        <w:numPr>
          <w:ilvl w:val="0"/>
          <w:numId w:val="11"/>
        </w:numPr>
        <w:spacing w:before="0" w:after="0"/>
        <w:rPr>
          <w:sz w:val="22"/>
          <w:szCs w:val="22"/>
        </w:rPr>
      </w:pPr>
      <w:r w:rsidRPr="006E7F87">
        <w:rPr>
          <w:sz w:val="22"/>
          <w:szCs w:val="22"/>
        </w:rPr>
        <w:t>The table below gives the median age for all the Western City LGAs and Greater Sydney.</w:t>
      </w:r>
    </w:p>
    <w:p w14:paraId="0B116D43" w14:textId="77777777" w:rsidR="006E7F87" w:rsidRPr="006E7F87" w:rsidRDefault="006E7F87" w:rsidP="006E7F87">
      <w:pPr>
        <w:spacing w:before="0" w:after="0"/>
        <w:rPr>
          <w:sz w:val="22"/>
          <w:szCs w:val="22"/>
        </w:rPr>
      </w:pPr>
    </w:p>
    <w:p w14:paraId="4A5D6D77" w14:textId="36994D27" w:rsidR="006B5984" w:rsidRDefault="006B5984" w:rsidP="006B5984">
      <w:pPr>
        <w:ind w:left="360"/>
        <w:rPr>
          <w:sz w:val="22"/>
          <w:szCs w:val="22"/>
        </w:rPr>
      </w:pPr>
      <w:r w:rsidRPr="006B5984">
        <w:rPr>
          <w:noProof/>
        </w:rPr>
        <w:drawing>
          <wp:inline distT="0" distB="0" distL="0" distR="0" wp14:anchorId="49C31F27" wp14:editId="5D8EE8F1">
            <wp:extent cx="2162175" cy="962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inline>
        </w:drawing>
      </w:r>
    </w:p>
    <w:p w14:paraId="32319248" w14:textId="77777777" w:rsidR="006E7F87" w:rsidRDefault="006E7F87" w:rsidP="006B5984">
      <w:pPr>
        <w:ind w:left="360"/>
        <w:rPr>
          <w:sz w:val="22"/>
          <w:szCs w:val="22"/>
        </w:rPr>
      </w:pPr>
    </w:p>
    <w:p w14:paraId="31E33925" w14:textId="77777777" w:rsidR="00A25119" w:rsidRPr="00032646" w:rsidRDefault="00A25119" w:rsidP="00032646">
      <w:pPr>
        <w:numPr>
          <w:ilvl w:val="0"/>
          <w:numId w:val="20"/>
        </w:numPr>
        <w:spacing w:before="0" w:after="0"/>
        <w:rPr>
          <w:sz w:val="22"/>
          <w:szCs w:val="22"/>
        </w:rPr>
      </w:pPr>
      <w:r>
        <w:rPr>
          <w:sz w:val="22"/>
          <w:szCs w:val="22"/>
        </w:rPr>
        <w:t xml:space="preserve">Generally, </w:t>
      </w:r>
      <w:r w:rsidR="0084602D">
        <w:rPr>
          <w:sz w:val="22"/>
          <w:szCs w:val="22"/>
        </w:rPr>
        <w:t>South District</w:t>
      </w:r>
      <w:r>
        <w:rPr>
          <w:sz w:val="22"/>
          <w:szCs w:val="22"/>
        </w:rPr>
        <w:t xml:space="preserve"> has </w:t>
      </w:r>
      <w:r w:rsidR="0084602D">
        <w:rPr>
          <w:sz w:val="22"/>
          <w:szCs w:val="22"/>
        </w:rPr>
        <w:t xml:space="preserve">slightly </w:t>
      </w:r>
      <w:r>
        <w:rPr>
          <w:sz w:val="22"/>
          <w:szCs w:val="22"/>
        </w:rPr>
        <w:t xml:space="preserve">higher proportions of 0-4, </w:t>
      </w:r>
      <w:r w:rsidR="00032646">
        <w:rPr>
          <w:sz w:val="22"/>
          <w:szCs w:val="22"/>
        </w:rPr>
        <w:t xml:space="preserve">5-14, </w:t>
      </w:r>
      <w:r w:rsidRPr="00032646">
        <w:rPr>
          <w:sz w:val="22"/>
          <w:szCs w:val="22"/>
        </w:rPr>
        <w:t>15-19</w:t>
      </w:r>
      <w:r w:rsidR="00032646">
        <w:rPr>
          <w:sz w:val="22"/>
          <w:szCs w:val="22"/>
        </w:rPr>
        <w:t>, 55-64, 65-74,</w:t>
      </w:r>
      <w:r w:rsidRPr="00032646">
        <w:rPr>
          <w:sz w:val="22"/>
          <w:szCs w:val="22"/>
        </w:rPr>
        <w:t xml:space="preserve"> </w:t>
      </w:r>
      <w:r w:rsidR="00032646">
        <w:rPr>
          <w:sz w:val="22"/>
          <w:szCs w:val="22"/>
        </w:rPr>
        <w:t xml:space="preserve">75-84 and 85+ </w:t>
      </w:r>
      <w:r w:rsidRPr="00032646">
        <w:rPr>
          <w:sz w:val="22"/>
          <w:szCs w:val="22"/>
        </w:rPr>
        <w:t xml:space="preserve">year olds, the same proportion of </w:t>
      </w:r>
      <w:r w:rsidR="00032646">
        <w:rPr>
          <w:sz w:val="22"/>
          <w:szCs w:val="22"/>
        </w:rPr>
        <w:t xml:space="preserve">45-54 </w:t>
      </w:r>
      <w:r w:rsidRPr="00032646">
        <w:rPr>
          <w:sz w:val="22"/>
          <w:szCs w:val="22"/>
        </w:rPr>
        <w:t>year olds</w:t>
      </w:r>
      <w:r w:rsidR="00032646">
        <w:rPr>
          <w:sz w:val="22"/>
          <w:szCs w:val="22"/>
        </w:rPr>
        <w:t xml:space="preserve"> and lower proportions of 25-34 and</w:t>
      </w:r>
      <w:r w:rsidRPr="00032646">
        <w:rPr>
          <w:sz w:val="22"/>
          <w:szCs w:val="22"/>
        </w:rPr>
        <w:t xml:space="preserve"> 35-44 year olds than the average for Greater Sydney.</w:t>
      </w:r>
    </w:p>
    <w:p w14:paraId="75141016" w14:textId="77777777" w:rsidR="00A25119" w:rsidRDefault="00A25119" w:rsidP="00A25119">
      <w:pPr>
        <w:numPr>
          <w:ilvl w:val="0"/>
          <w:numId w:val="20"/>
        </w:numPr>
        <w:spacing w:before="0" w:after="0"/>
        <w:rPr>
          <w:sz w:val="22"/>
          <w:szCs w:val="22"/>
        </w:rPr>
      </w:pPr>
      <w:r>
        <w:rPr>
          <w:sz w:val="22"/>
          <w:szCs w:val="22"/>
        </w:rPr>
        <w:t xml:space="preserve">However, there is variation in the age profiles of the </w:t>
      </w:r>
      <w:r w:rsidR="00032646">
        <w:rPr>
          <w:sz w:val="22"/>
          <w:szCs w:val="22"/>
        </w:rPr>
        <w:t>South District</w:t>
      </w:r>
      <w:r>
        <w:rPr>
          <w:sz w:val="22"/>
          <w:szCs w:val="22"/>
        </w:rPr>
        <w:t xml:space="preserve"> LGAs: </w:t>
      </w:r>
    </w:p>
    <w:p w14:paraId="1DBA1F6B" w14:textId="77777777" w:rsidR="00A25119" w:rsidRDefault="00ED188B" w:rsidP="00A25119">
      <w:pPr>
        <w:numPr>
          <w:ilvl w:val="1"/>
          <w:numId w:val="20"/>
        </w:numPr>
        <w:spacing w:before="0" w:after="0"/>
        <w:rPr>
          <w:sz w:val="22"/>
          <w:szCs w:val="22"/>
        </w:rPr>
      </w:pPr>
      <w:r>
        <w:rPr>
          <w:sz w:val="22"/>
          <w:szCs w:val="22"/>
        </w:rPr>
        <w:t>Canterbury-Bankstown is the only LGA in the District with a higher proportion of 0-4 year olds</w:t>
      </w:r>
      <w:r w:rsidR="005A04BC">
        <w:rPr>
          <w:sz w:val="22"/>
          <w:szCs w:val="22"/>
        </w:rPr>
        <w:t xml:space="preserve"> and a lower proportion of 65-74 and 75-84 year olds</w:t>
      </w:r>
      <w:r>
        <w:rPr>
          <w:sz w:val="22"/>
          <w:szCs w:val="22"/>
        </w:rPr>
        <w:t xml:space="preserve"> than the Greater Sydney average</w:t>
      </w:r>
      <w:r w:rsidR="00A25119">
        <w:rPr>
          <w:sz w:val="22"/>
          <w:szCs w:val="22"/>
        </w:rPr>
        <w:t>.</w:t>
      </w:r>
    </w:p>
    <w:p w14:paraId="0854166E" w14:textId="77777777" w:rsidR="00ED188B" w:rsidRDefault="00A03F73" w:rsidP="00A25119">
      <w:pPr>
        <w:numPr>
          <w:ilvl w:val="1"/>
          <w:numId w:val="20"/>
        </w:numPr>
        <w:spacing w:before="0" w:after="0"/>
        <w:rPr>
          <w:sz w:val="22"/>
          <w:szCs w:val="22"/>
        </w:rPr>
      </w:pPr>
      <w:r>
        <w:rPr>
          <w:sz w:val="22"/>
          <w:szCs w:val="22"/>
        </w:rPr>
        <w:t>Georges River is the only LGA in the District with a lower proportion of 5-14 and 15-19 year olds and a higher proportion of 25-34 year olds than the Greater Sydney average.</w:t>
      </w:r>
    </w:p>
    <w:p w14:paraId="1CED232D" w14:textId="77777777" w:rsidR="00A03F73" w:rsidRDefault="00A03F73" w:rsidP="00A25119">
      <w:pPr>
        <w:numPr>
          <w:ilvl w:val="1"/>
          <w:numId w:val="20"/>
        </w:numPr>
        <w:spacing w:before="0" w:after="0"/>
        <w:rPr>
          <w:sz w:val="22"/>
          <w:szCs w:val="22"/>
        </w:rPr>
      </w:pPr>
      <w:r>
        <w:rPr>
          <w:sz w:val="22"/>
          <w:szCs w:val="22"/>
        </w:rPr>
        <w:t>Sutherland is the only LGA in the District with a lower proportion of 20-24 year olds and a higher proportion of 45-54 year olds than the Greater Sydney average.</w:t>
      </w:r>
    </w:p>
    <w:p w14:paraId="4988A69A" w14:textId="77777777" w:rsidR="006E7F87" w:rsidRPr="003D0F40" w:rsidRDefault="006E7F87" w:rsidP="006E7F87">
      <w:pPr>
        <w:pStyle w:val="ListParagraph"/>
        <w:numPr>
          <w:ilvl w:val="0"/>
          <w:numId w:val="20"/>
        </w:numPr>
        <w:spacing w:before="0" w:after="0"/>
        <w:rPr>
          <w:sz w:val="22"/>
          <w:szCs w:val="22"/>
        </w:rPr>
      </w:pPr>
      <w:r w:rsidRPr="003D0F40">
        <w:rPr>
          <w:sz w:val="22"/>
          <w:szCs w:val="22"/>
        </w:rPr>
        <w:t>The table below gives more detail of the breakdown of age coho</w:t>
      </w:r>
      <w:r>
        <w:rPr>
          <w:sz w:val="22"/>
          <w:szCs w:val="22"/>
        </w:rPr>
        <w:t>rts by LGA, for South District</w:t>
      </w:r>
      <w:r w:rsidRPr="003D0F40">
        <w:rPr>
          <w:sz w:val="22"/>
          <w:szCs w:val="22"/>
        </w:rPr>
        <w:t xml:space="preserve"> and for </w:t>
      </w:r>
      <w:r>
        <w:rPr>
          <w:sz w:val="22"/>
          <w:szCs w:val="22"/>
        </w:rPr>
        <w:t>Greater Sydney</w:t>
      </w:r>
      <w:r w:rsidRPr="003D0F40">
        <w:rPr>
          <w:sz w:val="22"/>
          <w:szCs w:val="22"/>
        </w:rPr>
        <w:t>.</w:t>
      </w:r>
    </w:p>
    <w:p w14:paraId="63CDCB86" w14:textId="1A6C44B4" w:rsidR="006E7F87" w:rsidRDefault="006E7F87" w:rsidP="006E7F87">
      <w:pPr>
        <w:spacing w:before="0" w:after="0"/>
        <w:rPr>
          <w:sz w:val="22"/>
          <w:szCs w:val="22"/>
        </w:rPr>
      </w:pPr>
    </w:p>
    <w:p w14:paraId="4694704D" w14:textId="4DD8B895" w:rsidR="006E7F87" w:rsidRDefault="006E7F87" w:rsidP="006E7F87">
      <w:pPr>
        <w:spacing w:before="0" w:after="0"/>
        <w:rPr>
          <w:sz w:val="22"/>
          <w:szCs w:val="22"/>
        </w:rPr>
      </w:pPr>
      <w:r>
        <w:rPr>
          <w:noProof/>
          <w:sz w:val="22"/>
          <w:szCs w:val="22"/>
        </w:rPr>
        <w:drawing>
          <wp:inline distT="0" distB="0" distL="0" distR="0" wp14:anchorId="68935F27" wp14:editId="61889DAD">
            <wp:extent cx="5937885" cy="12496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1249680"/>
                    </a:xfrm>
                    <a:prstGeom prst="rect">
                      <a:avLst/>
                    </a:prstGeom>
                    <a:noFill/>
                  </pic:spPr>
                </pic:pic>
              </a:graphicData>
            </a:graphic>
          </wp:inline>
        </w:drawing>
      </w:r>
    </w:p>
    <w:p w14:paraId="0E2E05E5" w14:textId="77777777" w:rsidR="006E7F87" w:rsidRDefault="006E7F87" w:rsidP="006E7F87">
      <w:pPr>
        <w:spacing w:before="0" w:after="0"/>
        <w:rPr>
          <w:sz w:val="22"/>
          <w:szCs w:val="22"/>
        </w:rPr>
      </w:pPr>
    </w:p>
    <w:p w14:paraId="397A3ECB" w14:textId="32C5A814" w:rsidR="006B5984" w:rsidRPr="006E7F87" w:rsidRDefault="00A25119" w:rsidP="00390664">
      <w:pPr>
        <w:numPr>
          <w:ilvl w:val="0"/>
          <w:numId w:val="20"/>
        </w:numPr>
        <w:spacing w:before="0" w:after="0"/>
        <w:rPr>
          <w:sz w:val="22"/>
          <w:szCs w:val="22"/>
        </w:rPr>
      </w:pPr>
      <w:r w:rsidRPr="006E7F87">
        <w:rPr>
          <w:sz w:val="22"/>
          <w:szCs w:val="22"/>
        </w:rPr>
        <w:t xml:space="preserve">The graph below shows the proportion of the population in each key age cohort in the </w:t>
      </w:r>
      <w:r w:rsidR="00A03F73" w:rsidRPr="006E7F87">
        <w:rPr>
          <w:sz w:val="22"/>
          <w:szCs w:val="22"/>
        </w:rPr>
        <w:t>South District</w:t>
      </w:r>
      <w:r w:rsidRPr="006E7F87">
        <w:rPr>
          <w:sz w:val="22"/>
          <w:szCs w:val="22"/>
        </w:rPr>
        <w:t xml:space="preserve"> LGAs as well as the District and Greater Sydney.</w:t>
      </w:r>
    </w:p>
    <w:p w14:paraId="21C7B303" w14:textId="7A888A40" w:rsidR="00A25119" w:rsidRDefault="0022604D" w:rsidP="006B5984">
      <w:pPr>
        <w:rPr>
          <w:sz w:val="22"/>
          <w:szCs w:val="22"/>
        </w:rPr>
      </w:pPr>
      <w:r>
        <w:rPr>
          <w:noProof/>
          <w:sz w:val="22"/>
          <w:szCs w:val="22"/>
        </w:rPr>
        <w:lastRenderedPageBreak/>
        <w:drawing>
          <wp:inline distT="0" distB="0" distL="0" distR="0" wp14:anchorId="4E8B5438" wp14:editId="745CE275">
            <wp:extent cx="5789093" cy="309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519" cy="3109221"/>
                    </a:xfrm>
                    <a:prstGeom prst="rect">
                      <a:avLst/>
                    </a:prstGeom>
                    <a:noFill/>
                  </pic:spPr>
                </pic:pic>
              </a:graphicData>
            </a:graphic>
          </wp:inline>
        </w:drawing>
      </w:r>
    </w:p>
    <w:p w14:paraId="6817973B" w14:textId="77777777" w:rsidR="00BD18D7" w:rsidRPr="00EE2D59" w:rsidRDefault="00BD18D7" w:rsidP="00BD18D7">
      <w:pPr>
        <w:pStyle w:val="ListParagraph"/>
        <w:numPr>
          <w:ilvl w:val="0"/>
          <w:numId w:val="22"/>
        </w:numPr>
        <w:spacing w:before="0" w:after="0"/>
        <w:rPr>
          <w:sz w:val="22"/>
          <w:szCs w:val="22"/>
        </w:rPr>
      </w:pPr>
      <w:r w:rsidRPr="00EE2D59">
        <w:rPr>
          <w:sz w:val="22"/>
          <w:szCs w:val="22"/>
        </w:rPr>
        <w:t>The Department of Planning and Environment forecast increases in older age groups</w:t>
      </w:r>
      <w:r w:rsidR="00E05EF7" w:rsidRPr="00EE2D59">
        <w:rPr>
          <w:sz w:val="22"/>
          <w:szCs w:val="22"/>
        </w:rPr>
        <w:t xml:space="preserve"> and no change in younger age groups</w:t>
      </w:r>
      <w:r w:rsidRPr="00EE2D59">
        <w:rPr>
          <w:sz w:val="22"/>
          <w:szCs w:val="22"/>
        </w:rPr>
        <w:t xml:space="preserve"> in every </w:t>
      </w:r>
      <w:r w:rsidR="00E05EF7" w:rsidRPr="00EE2D59">
        <w:rPr>
          <w:sz w:val="22"/>
          <w:szCs w:val="22"/>
        </w:rPr>
        <w:t>South District</w:t>
      </w:r>
      <w:r w:rsidRPr="00EE2D59">
        <w:rPr>
          <w:sz w:val="22"/>
          <w:szCs w:val="22"/>
        </w:rPr>
        <w:t xml:space="preserve"> LGA to 2041. </w:t>
      </w:r>
    </w:p>
    <w:p w14:paraId="6C119BEE" w14:textId="77777777" w:rsidR="00BD18D7" w:rsidRPr="008F6C53" w:rsidRDefault="00BD18D7" w:rsidP="00BD18D7">
      <w:pPr>
        <w:numPr>
          <w:ilvl w:val="0"/>
          <w:numId w:val="23"/>
        </w:numPr>
        <w:spacing w:before="0" w:after="0"/>
        <w:rPr>
          <w:sz w:val="22"/>
        </w:rPr>
      </w:pPr>
      <w:r w:rsidRPr="008F6C53">
        <w:rPr>
          <w:sz w:val="22"/>
          <w:szCs w:val="22"/>
        </w:rPr>
        <w:t xml:space="preserve">The diversity of age groups requires a range of different housing to meet the needs of the community throughout the housing life cycle. </w:t>
      </w:r>
    </w:p>
    <w:p w14:paraId="7A97F012" w14:textId="77777777" w:rsidR="00BD18D7" w:rsidRPr="008F6C53" w:rsidRDefault="00BD18D7" w:rsidP="00BD18D7">
      <w:pPr>
        <w:numPr>
          <w:ilvl w:val="0"/>
          <w:numId w:val="23"/>
        </w:numPr>
        <w:spacing w:before="0" w:after="0"/>
        <w:rPr>
          <w:sz w:val="22"/>
        </w:rPr>
      </w:pPr>
      <w:r>
        <w:rPr>
          <w:sz w:val="22"/>
        </w:rPr>
        <w:t>T</w:t>
      </w:r>
      <w:r w:rsidRPr="008F6C53">
        <w:rPr>
          <w:sz w:val="22"/>
        </w:rPr>
        <w:t>here will be an increasing need for housing to suit seniors and frail aged residents</w:t>
      </w:r>
      <w:r>
        <w:rPr>
          <w:sz w:val="22"/>
        </w:rPr>
        <w:t xml:space="preserve"> as the number of residents in these age groups grows</w:t>
      </w:r>
      <w:r w:rsidRPr="008F6C53">
        <w:rPr>
          <w:sz w:val="22"/>
        </w:rPr>
        <w:t>.</w:t>
      </w:r>
    </w:p>
    <w:p w14:paraId="31E1D10F" w14:textId="77777777" w:rsidR="00BD18D7" w:rsidRDefault="00BD18D7" w:rsidP="00BD18D7">
      <w:pPr>
        <w:numPr>
          <w:ilvl w:val="0"/>
          <w:numId w:val="23"/>
        </w:numPr>
        <w:spacing w:before="0" w:after="0"/>
        <w:rPr>
          <w:sz w:val="22"/>
          <w:szCs w:val="22"/>
        </w:rPr>
      </w:pPr>
      <w:r>
        <w:rPr>
          <w:sz w:val="22"/>
          <w:szCs w:val="22"/>
        </w:rPr>
        <w:t>As the Australian Institute for Health and Welfare (AIHW) note:</w:t>
      </w:r>
    </w:p>
    <w:p w14:paraId="3F1E034B" w14:textId="77777777" w:rsidR="00BD18D7" w:rsidRPr="00E67D99" w:rsidRDefault="00BD18D7" w:rsidP="00BD18D7">
      <w:pPr>
        <w:spacing w:before="0" w:after="0"/>
        <w:ind w:left="36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7D711BB9" w14:textId="77777777" w:rsidR="00BD18D7" w:rsidRPr="00E67D99" w:rsidRDefault="00BD18D7" w:rsidP="00BD18D7">
      <w:pPr>
        <w:numPr>
          <w:ilvl w:val="1"/>
          <w:numId w:val="23"/>
        </w:numPr>
        <w:spacing w:before="0" w:after="0"/>
        <w:rPr>
          <w:sz w:val="22"/>
          <w:szCs w:val="22"/>
        </w:rPr>
      </w:pPr>
      <w:r w:rsidRPr="00E67D99">
        <w:rPr>
          <w:sz w:val="22"/>
          <w:szCs w:val="22"/>
        </w:rPr>
        <w:t>the appropriateness and quality of their home (for example, size, layout)</w:t>
      </w:r>
    </w:p>
    <w:p w14:paraId="77419359" w14:textId="77777777" w:rsidR="00BD18D7" w:rsidRPr="00E67D99" w:rsidRDefault="00BD18D7" w:rsidP="00BD18D7">
      <w:pPr>
        <w:numPr>
          <w:ilvl w:val="1"/>
          <w:numId w:val="23"/>
        </w:numPr>
        <w:spacing w:before="0" w:after="0"/>
        <w:rPr>
          <w:sz w:val="22"/>
          <w:szCs w:val="22"/>
        </w:rPr>
      </w:pPr>
      <w:r w:rsidRPr="00E67D99">
        <w:rPr>
          <w:sz w:val="22"/>
          <w:szCs w:val="22"/>
        </w:rPr>
        <w:t>their ability to modify their home to suit their functional requirements</w:t>
      </w:r>
    </w:p>
    <w:p w14:paraId="29BEA303" w14:textId="77777777" w:rsidR="00BD18D7" w:rsidRPr="00E67D99" w:rsidRDefault="00BD18D7" w:rsidP="00BD18D7">
      <w:pPr>
        <w:numPr>
          <w:ilvl w:val="1"/>
          <w:numId w:val="23"/>
        </w:numPr>
        <w:spacing w:before="0" w:after="0"/>
        <w:rPr>
          <w:sz w:val="22"/>
          <w:szCs w:val="22"/>
        </w:rPr>
      </w:pPr>
      <w:r w:rsidRPr="00E67D99">
        <w:rPr>
          <w:sz w:val="22"/>
          <w:szCs w:val="22"/>
        </w:rPr>
        <w:t>the cost and availability of suitable housing</w:t>
      </w:r>
    </w:p>
    <w:p w14:paraId="1180704D" w14:textId="77777777" w:rsidR="00BD18D7" w:rsidRPr="00E67D99" w:rsidRDefault="00BD18D7" w:rsidP="00BD18D7">
      <w:pPr>
        <w:numPr>
          <w:ilvl w:val="1"/>
          <w:numId w:val="23"/>
        </w:numPr>
        <w:spacing w:before="0" w:after="0"/>
        <w:rPr>
          <w:sz w:val="22"/>
          <w:szCs w:val="22"/>
        </w:rPr>
      </w:pPr>
      <w:r w:rsidRPr="00E67D99">
        <w:rPr>
          <w:sz w:val="22"/>
          <w:szCs w:val="22"/>
        </w:rPr>
        <w:t>their need for formal care and assistance</w:t>
      </w:r>
    </w:p>
    <w:p w14:paraId="0760F505" w14:textId="77777777" w:rsidR="00BD18D7" w:rsidRPr="00E67D99" w:rsidRDefault="00BD18D7" w:rsidP="00BD18D7">
      <w:pPr>
        <w:numPr>
          <w:ilvl w:val="1"/>
          <w:numId w:val="23"/>
        </w:numPr>
        <w:spacing w:before="0" w:after="0"/>
        <w:rPr>
          <w:sz w:val="22"/>
          <w:szCs w:val="22"/>
        </w:rPr>
      </w:pPr>
      <w:r w:rsidRPr="00E67D99">
        <w:rPr>
          <w:sz w:val="22"/>
          <w:szCs w:val="22"/>
        </w:rPr>
        <w:t xml:space="preserve">their proximity to services and social support.  </w:t>
      </w:r>
    </w:p>
    <w:p w14:paraId="2DA47964" w14:textId="77777777" w:rsidR="00BD18D7" w:rsidRDefault="00BD18D7" w:rsidP="00BD18D7">
      <w:pPr>
        <w:numPr>
          <w:ilvl w:val="0"/>
          <w:numId w:val="23"/>
        </w:numPr>
        <w:spacing w:before="0" w:after="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Pr="005A2356">
        <w:rPr>
          <w:sz w:val="22"/>
          <w:szCs w:val="22"/>
        </w:rPr>
        <w:t xml:space="preserve"> </w:t>
      </w:r>
      <w:r>
        <w:rPr>
          <w:sz w:val="22"/>
          <w:szCs w:val="22"/>
        </w:rPr>
        <w:t xml:space="preserve">  </w:t>
      </w:r>
    </w:p>
    <w:p w14:paraId="19D1AA20" w14:textId="77777777" w:rsidR="00BD18D7" w:rsidRPr="00837685" w:rsidRDefault="00BD18D7" w:rsidP="00BD18D7">
      <w:pPr>
        <w:numPr>
          <w:ilvl w:val="0"/>
          <w:numId w:val="23"/>
        </w:numPr>
        <w:spacing w:before="0" w:after="0"/>
        <w:rPr>
          <w:sz w:val="22"/>
          <w:szCs w:val="22"/>
        </w:rPr>
      </w:pPr>
      <w:r>
        <w:rPr>
          <w:sz w:val="22"/>
          <w:szCs w:val="22"/>
        </w:rPr>
        <w:t>There are significant numbers of low income households and lower income rental households in this District.  Therefore</w:t>
      </w:r>
      <w:r w:rsidRPr="00837685">
        <w:rPr>
          <w:sz w:val="22"/>
          <w:szCs w:val="22"/>
        </w:rPr>
        <w:t xml:space="preserve"> affordability is a key issue for all age groups, including older residents, and particularly tenants.</w:t>
      </w:r>
    </w:p>
    <w:p w14:paraId="1B785B54" w14:textId="77777777" w:rsidR="00BD18D7" w:rsidRPr="005A2356" w:rsidRDefault="00BD18D7" w:rsidP="00BD18D7">
      <w:pPr>
        <w:numPr>
          <w:ilvl w:val="0"/>
          <w:numId w:val="23"/>
        </w:numPr>
        <w:spacing w:before="0" w:after="0"/>
        <w:rPr>
          <w:sz w:val="22"/>
          <w:szCs w:val="22"/>
        </w:rPr>
      </w:pPr>
      <w:r>
        <w:rPr>
          <w:sz w:val="22"/>
          <w:szCs w:val="22"/>
        </w:rPr>
        <w:t xml:space="preserve">The Australian Housing and Urban Research Institute (AHURI) has </w:t>
      </w:r>
      <w:r w:rsidRPr="005A2356">
        <w:rPr>
          <w:sz w:val="22"/>
          <w:szCs w:val="22"/>
        </w:rPr>
        <w:t>undertaken research on “What is the idea</w:t>
      </w:r>
      <w:r>
        <w:rPr>
          <w:sz w:val="22"/>
          <w:szCs w:val="22"/>
        </w:rPr>
        <w:t>l home for older Australians?”</w:t>
      </w:r>
    </w:p>
    <w:p w14:paraId="735466DA" w14:textId="77777777" w:rsidR="00BD18D7" w:rsidRDefault="00BD18D7" w:rsidP="00BD18D7">
      <w:pPr>
        <w:numPr>
          <w:ilvl w:val="1"/>
          <w:numId w:val="23"/>
        </w:numPr>
        <w:spacing w:before="0" w:after="0"/>
        <w:rPr>
          <w:sz w:val="22"/>
          <w:szCs w:val="22"/>
        </w:rPr>
      </w:pPr>
      <w:r>
        <w:rPr>
          <w:sz w:val="22"/>
          <w:szCs w:val="22"/>
        </w:rPr>
        <w:t>“Older Australians and the housing aspirations gap” and</w:t>
      </w:r>
    </w:p>
    <w:p w14:paraId="07FAA206" w14:textId="77777777" w:rsidR="00BD18D7" w:rsidRPr="00485081" w:rsidRDefault="00BD18D7" w:rsidP="00BD18D7">
      <w:pPr>
        <w:numPr>
          <w:ilvl w:val="1"/>
          <w:numId w:val="23"/>
        </w:numPr>
        <w:spacing w:before="0" w:after="0"/>
        <w:rPr>
          <w:sz w:val="22"/>
          <w:szCs w:val="22"/>
        </w:rPr>
      </w:pPr>
      <w:r w:rsidRPr="00AF341B">
        <w:rPr>
          <w:sz w:val="22"/>
          <w:szCs w:val="22"/>
        </w:rPr>
        <w:t>“Understanding the housing aspirations of older Australians”</w:t>
      </w:r>
    </w:p>
    <w:p w14:paraId="35267827" w14:textId="77777777" w:rsidR="00BD18D7" w:rsidRPr="00114E6B" w:rsidRDefault="00BD18D7" w:rsidP="00BD18D7">
      <w:pPr>
        <w:pStyle w:val="ListParagraph"/>
        <w:numPr>
          <w:ilvl w:val="0"/>
          <w:numId w:val="23"/>
        </w:numPr>
        <w:spacing w:before="0" w:after="0"/>
        <w:rPr>
          <w:sz w:val="22"/>
          <w:szCs w:val="22"/>
        </w:rPr>
      </w:pPr>
      <w:r w:rsidRPr="00485081">
        <w:rPr>
          <w:sz w:val="22"/>
          <w:szCs w:val="22"/>
        </w:rPr>
        <w:lastRenderedPageBreak/>
        <w:t>This research is part of a broader study on “Housing aspirations and constraints for lower income Australians.”  AHURI’s research demonstrates that one of the most valued aspects of older residents housing is the location – that the neighbourhood feels safe and secure; that there is good (including walkable) access to services such as health, shopping, recreational amenities, public open space; and that it is close to family and friends</w:t>
      </w:r>
      <w:r w:rsidRPr="00485081">
        <w:rPr>
          <w:rFonts w:cs="Arial"/>
          <w:color w:val="484848"/>
        </w:rPr>
        <w:t>.</w:t>
      </w:r>
    </w:p>
    <w:p w14:paraId="1FDC3DF2" w14:textId="77777777" w:rsidR="003320C4" w:rsidRDefault="003320C4" w:rsidP="00BD18D7">
      <w:pPr>
        <w:pStyle w:val="ListParagraph"/>
        <w:ind w:left="360"/>
        <w:rPr>
          <w:sz w:val="22"/>
        </w:rPr>
      </w:pPr>
    </w:p>
    <w:p w14:paraId="5F413538" w14:textId="77777777" w:rsidR="00BD18D7" w:rsidRDefault="00BD18D7" w:rsidP="00BD18D7">
      <w:pPr>
        <w:pStyle w:val="ListParagraph"/>
        <w:ind w:left="360"/>
        <w:rPr>
          <w:sz w:val="22"/>
        </w:rPr>
      </w:pPr>
    </w:p>
    <w:p w14:paraId="0B0C15ED" w14:textId="77777777" w:rsidR="00715D71" w:rsidRDefault="003807CA" w:rsidP="0007114C">
      <w:pPr>
        <w:pStyle w:val="Heading2"/>
      </w:pPr>
      <w:r w:rsidRPr="0007114C">
        <w:t>Household</w:t>
      </w:r>
      <w:r>
        <w:t xml:space="preserve"> Type</w:t>
      </w:r>
    </w:p>
    <w:p w14:paraId="69B1DCEB" w14:textId="77777777" w:rsidR="00FE3F20" w:rsidRPr="003101EC" w:rsidRDefault="00FE3F20" w:rsidP="00FE3F20">
      <w:pPr>
        <w:numPr>
          <w:ilvl w:val="0"/>
          <w:numId w:val="24"/>
        </w:numPr>
        <w:spacing w:before="0" w:after="0"/>
        <w:rPr>
          <w:sz w:val="22"/>
          <w:szCs w:val="22"/>
        </w:rPr>
      </w:pPr>
      <w:r w:rsidRPr="00AB4FE6">
        <w:rPr>
          <w:sz w:val="22"/>
          <w:szCs w:val="22"/>
        </w:rPr>
        <w:t>A look at household types and average household size gives some insight into the type of housing – particularly number of bedrooms – that is likely to be appropriate to meet the housing needs of the community</w:t>
      </w:r>
      <w:r w:rsidRPr="003101EC">
        <w:rPr>
          <w:sz w:val="22"/>
          <w:szCs w:val="22"/>
        </w:rPr>
        <w:t xml:space="preserve">. </w:t>
      </w:r>
    </w:p>
    <w:p w14:paraId="67750992" w14:textId="77777777" w:rsidR="00FE3F20" w:rsidRDefault="00FE3F20" w:rsidP="00FE3F20">
      <w:pPr>
        <w:numPr>
          <w:ilvl w:val="0"/>
          <w:numId w:val="24"/>
        </w:numPr>
        <w:spacing w:before="0" w:after="0"/>
        <w:rPr>
          <w:sz w:val="22"/>
          <w:szCs w:val="22"/>
        </w:rPr>
      </w:pPr>
      <w:r w:rsidRPr="00320047">
        <w:rPr>
          <w:sz w:val="22"/>
          <w:szCs w:val="22"/>
        </w:rPr>
        <w:t xml:space="preserve">At the 2021 Census in </w:t>
      </w:r>
      <w:r>
        <w:rPr>
          <w:sz w:val="22"/>
          <w:szCs w:val="22"/>
        </w:rPr>
        <w:t>Greater Sydney</w:t>
      </w:r>
      <w:r w:rsidRPr="00320047">
        <w:rPr>
          <w:sz w:val="22"/>
          <w:szCs w:val="22"/>
        </w:rPr>
        <w:t xml:space="preserve">, </w:t>
      </w:r>
      <w:r>
        <w:rPr>
          <w:sz w:val="22"/>
          <w:szCs w:val="22"/>
        </w:rPr>
        <w:t>couple families with children are the largest household type, comprising 34.4% of all households, followed by couple family without children households (23.3%) and lone person households (22.2%).  One parent family households (10.5%), other family households (1.2%), group households (4.0%) and other households (4.3%) make up the remainder.</w:t>
      </w:r>
    </w:p>
    <w:p w14:paraId="0FFD1CF4" w14:textId="77777777" w:rsidR="00FE3F20" w:rsidRDefault="00FE3F20" w:rsidP="00FE3F20">
      <w:pPr>
        <w:numPr>
          <w:ilvl w:val="0"/>
          <w:numId w:val="24"/>
        </w:numPr>
        <w:spacing w:before="0" w:after="0"/>
        <w:rPr>
          <w:sz w:val="22"/>
          <w:szCs w:val="22"/>
        </w:rPr>
      </w:pPr>
      <w:r>
        <w:rPr>
          <w:sz w:val="22"/>
          <w:szCs w:val="22"/>
        </w:rPr>
        <w:t>Hou</w:t>
      </w:r>
      <w:r w:rsidR="00EE2D59">
        <w:rPr>
          <w:sz w:val="22"/>
          <w:szCs w:val="22"/>
        </w:rPr>
        <w:t>sehold types in the South</w:t>
      </w:r>
      <w:r>
        <w:rPr>
          <w:sz w:val="22"/>
          <w:szCs w:val="22"/>
        </w:rPr>
        <w:t xml:space="preserve"> District as a whole conform to the pattern of the average for Greater Sydney, with couple families with children being the largest household type, followed by couple families without children and lone person households. However, there is some variation in individual LGAs in the District.</w:t>
      </w:r>
    </w:p>
    <w:p w14:paraId="7C4C7A3A" w14:textId="77777777" w:rsidR="00C66EE5" w:rsidRDefault="00C66EE5" w:rsidP="00C66EE5">
      <w:pPr>
        <w:numPr>
          <w:ilvl w:val="0"/>
          <w:numId w:val="24"/>
        </w:numPr>
        <w:spacing w:before="0" w:after="0"/>
        <w:rPr>
          <w:sz w:val="22"/>
          <w:szCs w:val="22"/>
        </w:rPr>
      </w:pPr>
      <w:r>
        <w:rPr>
          <w:sz w:val="22"/>
          <w:szCs w:val="22"/>
        </w:rPr>
        <w:t xml:space="preserve">South </w:t>
      </w:r>
      <w:r w:rsidR="00FE3F20">
        <w:rPr>
          <w:sz w:val="22"/>
          <w:szCs w:val="22"/>
        </w:rPr>
        <w:t>District</w:t>
      </w:r>
      <w:r>
        <w:rPr>
          <w:sz w:val="22"/>
          <w:szCs w:val="22"/>
        </w:rPr>
        <w:t xml:space="preserve"> as a whole</w:t>
      </w:r>
      <w:r w:rsidR="00FE3F20">
        <w:rPr>
          <w:sz w:val="22"/>
          <w:szCs w:val="22"/>
        </w:rPr>
        <w:t xml:space="preserve"> has </w:t>
      </w:r>
      <w:r>
        <w:rPr>
          <w:sz w:val="22"/>
          <w:szCs w:val="22"/>
        </w:rPr>
        <w:t xml:space="preserve">slightly </w:t>
      </w:r>
      <w:r w:rsidR="00FE3F20">
        <w:rPr>
          <w:sz w:val="22"/>
          <w:szCs w:val="22"/>
        </w:rPr>
        <w:t>lower proportions of couple families without children (2</w:t>
      </w:r>
      <w:r>
        <w:rPr>
          <w:sz w:val="22"/>
          <w:szCs w:val="22"/>
        </w:rPr>
        <w:t>2.1</w:t>
      </w:r>
      <w:r w:rsidR="00FE3F20">
        <w:rPr>
          <w:sz w:val="22"/>
          <w:szCs w:val="22"/>
        </w:rPr>
        <w:t>%</w:t>
      </w:r>
      <w:r w:rsidR="00FE3F20" w:rsidRPr="00C66EE5">
        <w:rPr>
          <w:sz w:val="22"/>
          <w:szCs w:val="22"/>
        </w:rPr>
        <w:t>)</w:t>
      </w:r>
      <w:r>
        <w:rPr>
          <w:sz w:val="22"/>
          <w:szCs w:val="22"/>
        </w:rPr>
        <w:t xml:space="preserve">, lone person households (20.6%), group households (2.1%) and other households </w:t>
      </w:r>
      <w:r w:rsidR="0077694A">
        <w:rPr>
          <w:sz w:val="22"/>
          <w:szCs w:val="22"/>
        </w:rPr>
        <w:t xml:space="preserve">(which include multi-family households, </w:t>
      </w:r>
      <w:r>
        <w:rPr>
          <w:sz w:val="22"/>
          <w:szCs w:val="22"/>
        </w:rPr>
        <w:t>2.6%) and somewhat higher proportions of couple family with children households (37.0%), one parent families (11.6%) and other families (1.3%).</w:t>
      </w:r>
      <w:r w:rsidR="00FE3F20" w:rsidRPr="00C66EE5">
        <w:rPr>
          <w:sz w:val="22"/>
          <w:szCs w:val="22"/>
        </w:rPr>
        <w:t xml:space="preserve"> </w:t>
      </w:r>
    </w:p>
    <w:p w14:paraId="1CFA0F1D" w14:textId="77777777" w:rsidR="00FE3F20" w:rsidRDefault="00FE3F20" w:rsidP="00FE3F20">
      <w:pPr>
        <w:numPr>
          <w:ilvl w:val="0"/>
          <w:numId w:val="24"/>
        </w:numPr>
        <w:spacing w:before="0" w:after="0"/>
        <w:rPr>
          <w:sz w:val="22"/>
          <w:szCs w:val="22"/>
        </w:rPr>
      </w:pPr>
      <w:r>
        <w:rPr>
          <w:sz w:val="22"/>
          <w:szCs w:val="22"/>
        </w:rPr>
        <w:t>Individual LGAs in the District differ somewhat from this pattern:</w:t>
      </w:r>
    </w:p>
    <w:p w14:paraId="402291BE" w14:textId="77777777" w:rsidR="00FE3F20" w:rsidRDefault="004845A8" w:rsidP="00FE3F20">
      <w:pPr>
        <w:numPr>
          <w:ilvl w:val="1"/>
          <w:numId w:val="24"/>
        </w:numPr>
        <w:spacing w:before="0" w:after="0"/>
        <w:rPr>
          <w:sz w:val="22"/>
          <w:szCs w:val="22"/>
        </w:rPr>
      </w:pPr>
      <w:r>
        <w:rPr>
          <w:sz w:val="22"/>
          <w:szCs w:val="22"/>
        </w:rPr>
        <w:t>Georges River and Sutherland have higher proportions of couple families without children than the Greater Sydney average</w:t>
      </w:r>
      <w:r w:rsidR="00FE3F20">
        <w:rPr>
          <w:sz w:val="22"/>
          <w:szCs w:val="22"/>
        </w:rPr>
        <w:t>.</w:t>
      </w:r>
    </w:p>
    <w:p w14:paraId="093E076F" w14:textId="77777777" w:rsidR="004845A8" w:rsidRDefault="004845A8" w:rsidP="00FE3F20">
      <w:pPr>
        <w:numPr>
          <w:ilvl w:val="1"/>
          <w:numId w:val="24"/>
        </w:numPr>
        <w:spacing w:before="0" w:after="0"/>
        <w:rPr>
          <w:sz w:val="22"/>
          <w:szCs w:val="22"/>
        </w:rPr>
      </w:pPr>
      <w:r>
        <w:rPr>
          <w:sz w:val="22"/>
          <w:szCs w:val="22"/>
        </w:rPr>
        <w:t>Sutherland has a lower proportion of one parent families and other families than the Greater Sydney average.</w:t>
      </w:r>
    </w:p>
    <w:p w14:paraId="2BAFE5E6" w14:textId="77777777" w:rsidR="004845A8" w:rsidRDefault="004845A8" w:rsidP="00FE3F20">
      <w:pPr>
        <w:numPr>
          <w:ilvl w:val="1"/>
          <w:numId w:val="24"/>
        </w:numPr>
        <w:spacing w:before="0" w:after="0"/>
        <w:rPr>
          <w:sz w:val="22"/>
          <w:szCs w:val="22"/>
        </w:rPr>
      </w:pPr>
      <w:r>
        <w:rPr>
          <w:sz w:val="22"/>
          <w:szCs w:val="22"/>
        </w:rPr>
        <w:t>Canterbury-Bankstown has a higher proportion of other households than the Greater Sydney average.</w:t>
      </w:r>
    </w:p>
    <w:p w14:paraId="008A8766" w14:textId="2C7CCCC5" w:rsidR="00FE3F20" w:rsidRDefault="00FE3F20" w:rsidP="003A234A">
      <w:pPr>
        <w:numPr>
          <w:ilvl w:val="0"/>
          <w:numId w:val="24"/>
        </w:numPr>
        <w:spacing w:before="0" w:after="0"/>
        <w:rPr>
          <w:sz w:val="22"/>
          <w:szCs w:val="22"/>
        </w:rPr>
      </w:pPr>
      <w:r w:rsidRPr="00175B16">
        <w:rPr>
          <w:sz w:val="22"/>
          <w:szCs w:val="22"/>
        </w:rPr>
        <w:t xml:space="preserve">The </w:t>
      </w:r>
      <w:r>
        <w:rPr>
          <w:sz w:val="22"/>
          <w:szCs w:val="22"/>
        </w:rPr>
        <w:t xml:space="preserve">table </w:t>
      </w:r>
      <w:r w:rsidR="003A234A">
        <w:rPr>
          <w:sz w:val="22"/>
          <w:szCs w:val="22"/>
        </w:rPr>
        <w:t xml:space="preserve">and graph </w:t>
      </w:r>
      <w:r w:rsidRPr="00175B16">
        <w:rPr>
          <w:sz w:val="22"/>
          <w:szCs w:val="22"/>
        </w:rPr>
        <w:t xml:space="preserve">below show the proportion in each key household type for every </w:t>
      </w:r>
      <w:r w:rsidR="004845A8">
        <w:rPr>
          <w:sz w:val="22"/>
          <w:szCs w:val="22"/>
        </w:rPr>
        <w:t>South District</w:t>
      </w:r>
      <w:r>
        <w:rPr>
          <w:sz w:val="22"/>
          <w:szCs w:val="22"/>
        </w:rPr>
        <w:t xml:space="preserve"> LGA, for the District and for Greater Sydney</w:t>
      </w:r>
      <w:r w:rsidRPr="00175B16">
        <w:rPr>
          <w:sz w:val="22"/>
          <w:szCs w:val="22"/>
        </w:rPr>
        <w:t xml:space="preserve"> at the 20</w:t>
      </w:r>
      <w:r>
        <w:rPr>
          <w:sz w:val="22"/>
          <w:szCs w:val="22"/>
        </w:rPr>
        <w:t>21</w:t>
      </w:r>
      <w:r w:rsidRPr="00175B16">
        <w:rPr>
          <w:sz w:val="22"/>
          <w:szCs w:val="22"/>
        </w:rPr>
        <w:t xml:space="preserve"> Census.</w:t>
      </w:r>
    </w:p>
    <w:p w14:paraId="78B0D193" w14:textId="77777777" w:rsidR="003A234A" w:rsidRDefault="003A234A" w:rsidP="003A234A">
      <w:pPr>
        <w:spacing w:before="0" w:after="0"/>
        <w:rPr>
          <w:sz w:val="22"/>
          <w:szCs w:val="22"/>
        </w:rPr>
      </w:pPr>
    </w:p>
    <w:p w14:paraId="3C479800" w14:textId="6A0161C8" w:rsidR="003A234A" w:rsidRDefault="003A234A" w:rsidP="003A234A">
      <w:pPr>
        <w:spacing w:before="0" w:after="0"/>
        <w:ind w:firstLine="360"/>
        <w:rPr>
          <w:sz w:val="22"/>
          <w:szCs w:val="22"/>
        </w:rPr>
      </w:pPr>
      <w:r w:rsidRPr="003A234A">
        <w:rPr>
          <w:noProof/>
        </w:rPr>
        <w:drawing>
          <wp:inline distT="0" distB="0" distL="0" distR="0" wp14:anchorId="2F36A5C1" wp14:editId="2916C7F2">
            <wp:extent cx="5314950" cy="184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1847850"/>
                    </a:xfrm>
                    <a:prstGeom prst="rect">
                      <a:avLst/>
                    </a:prstGeom>
                    <a:noFill/>
                    <a:ln>
                      <a:noFill/>
                    </a:ln>
                  </pic:spPr>
                </pic:pic>
              </a:graphicData>
            </a:graphic>
          </wp:inline>
        </w:drawing>
      </w:r>
    </w:p>
    <w:p w14:paraId="46F6FDF7" w14:textId="4AC873D6" w:rsidR="003A234A" w:rsidRPr="003A234A" w:rsidRDefault="003A234A" w:rsidP="003A234A">
      <w:pPr>
        <w:spacing w:before="0" w:after="0"/>
        <w:rPr>
          <w:sz w:val="22"/>
          <w:szCs w:val="22"/>
        </w:rPr>
      </w:pPr>
    </w:p>
    <w:p w14:paraId="5D791564" w14:textId="77777777" w:rsidR="00FE3F20" w:rsidRDefault="00900EAF" w:rsidP="00FE3F20">
      <w:pPr>
        <w:rPr>
          <w:color w:val="000000" w:themeColor="text1"/>
          <w:sz w:val="22"/>
          <w:szCs w:val="22"/>
        </w:rPr>
      </w:pPr>
      <w:r>
        <w:rPr>
          <w:noProof/>
          <w:color w:val="000000" w:themeColor="text1"/>
          <w:sz w:val="22"/>
          <w:szCs w:val="22"/>
        </w:rPr>
        <w:lastRenderedPageBreak/>
        <w:drawing>
          <wp:inline distT="0" distB="0" distL="0" distR="0" wp14:anchorId="77AE2BEB" wp14:editId="6FD7BC92">
            <wp:extent cx="6315075" cy="304076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8211" cy="3051904"/>
                    </a:xfrm>
                    <a:prstGeom prst="rect">
                      <a:avLst/>
                    </a:prstGeom>
                    <a:noFill/>
                  </pic:spPr>
                </pic:pic>
              </a:graphicData>
            </a:graphic>
          </wp:inline>
        </w:drawing>
      </w:r>
    </w:p>
    <w:p w14:paraId="5F7F9FCA" w14:textId="77777777" w:rsidR="00113F63" w:rsidRDefault="00113F63" w:rsidP="00113F63">
      <w:pPr>
        <w:spacing w:before="0" w:after="0"/>
        <w:rPr>
          <w:sz w:val="22"/>
          <w:szCs w:val="22"/>
        </w:rPr>
      </w:pPr>
    </w:p>
    <w:p w14:paraId="497C1944" w14:textId="0722DCDC" w:rsidR="00900EAF" w:rsidRDefault="00900EAF" w:rsidP="00900EAF">
      <w:pPr>
        <w:numPr>
          <w:ilvl w:val="0"/>
          <w:numId w:val="24"/>
        </w:numPr>
        <w:spacing w:before="0" w:after="0"/>
        <w:rPr>
          <w:sz w:val="22"/>
          <w:szCs w:val="22"/>
        </w:rPr>
      </w:pPr>
      <w:r w:rsidRPr="00A62C8E">
        <w:rPr>
          <w:sz w:val="22"/>
          <w:szCs w:val="22"/>
        </w:rPr>
        <w:t xml:space="preserve">There has been a shift </w:t>
      </w:r>
      <w:r>
        <w:rPr>
          <w:sz w:val="22"/>
          <w:szCs w:val="22"/>
        </w:rPr>
        <w:t xml:space="preserve">in the proportions of different household types </w:t>
      </w:r>
      <w:r w:rsidRPr="00A62C8E">
        <w:rPr>
          <w:sz w:val="22"/>
          <w:szCs w:val="22"/>
        </w:rPr>
        <w:t xml:space="preserve">since the 2016 Census, with an increase in </w:t>
      </w:r>
      <w:r>
        <w:rPr>
          <w:sz w:val="22"/>
          <w:szCs w:val="22"/>
        </w:rPr>
        <w:t>the proportion of lone person households in Greater Sydney (1.8%) and couple family without children households (0.9%), and declines in the proportion of couple family with children households (-0.9%), other household types (-1.3%) and group households (-0.5%).</w:t>
      </w:r>
    </w:p>
    <w:p w14:paraId="38E216A0" w14:textId="77777777" w:rsidR="00900EAF" w:rsidRDefault="00900EAF" w:rsidP="00900EAF">
      <w:pPr>
        <w:numPr>
          <w:ilvl w:val="0"/>
          <w:numId w:val="24"/>
        </w:numPr>
        <w:spacing w:before="0" w:after="0"/>
        <w:rPr>
          <w:sz w:val="22"/>
          <w:szCs w:val="22"/>
        </w:rPr>
      </w:pPr>
      <w:r>
        <w:rPr>
          <w:sz w:val="22"/>
          <w:szCs w:val="22"/>
        </w:rPr>
        <w:t xml:space="preserve">The changes in household type from 2016 to 2021 in </w:t>
      </w:r>
      <w:r w:rsidR="00142B1F">
        <w:rPr>
          <w:sz w:val="22"/>
          <w:szCs w:val="22"/>
        </w:rPr>
        <w:t>South</w:t>
      </w:r>
      <w:r>
        <w:rPr>
          <w:sz w:val="22"/>
          <w:szCs w:val="22"/>
        </w:rPr>
        <w:t xml:space="preserve"> District were a little different, with a larger decline in the proportion of couple family with children households (-1.</w:t>
      </w:r>
      <w:r w:rsidR="00142B1F">
        <w:rPr>
          <w:sz w:val="22"/>
          <w:szCs w:val="22"/>
        </w:rPr>
        <w:t>9</w:t>
      </w:r>
      <w:r>
        <w:rPr>
          <w:sz w:val="22"/>
          <w:szCs w:val="22"/>
        </w:rPr>
        <w:t>%), smaller increases in the proportion of couple family without children (0.</w:t>
      </w:r>
      <w:r w:rsidR="00142B1F">
        <w:rPr>
          <w:sz w:val="22"/>
          <w:szCs w:val="22"/>
        </w:rPr>
        <w:t>7</w:t>
      </w:r>
      <w:r>
        <w:rPr>
          <w:sz w:val="22"/>
          <w:szCs w:val="22"/>
        </w:rPr>
        <w:t>%)</w:t>
      </w:r>
      <w:r w:rsidR="00142B1F">
        <w:rPr>
          <w:sz w:val="22"/>
          <w:szCs w:val="22"/>
        </w:rPr>
        <w:t xml:space="preserve"> and</w:t>
      </w:r>
      <w:r>
        <w:rPr>
          <w:sz w:val="22"/>
          <w:szCs w:val="22"/>
        </w:rPr>
        <w:t xml:space="preserve"> lone person households (1.4%)</w:t>
      </w:r>
      <w:r w:rsidR="00142B1F">
        <w:rPr>
          <w:sz w:val="22"/>
          <w:szCs w:val="22"/>
        </w:rPr>
        <w:t>, slightly larger increase in</w:t>
      </w:r>
      <w:r>
        <w:rPr>
          <w:sz w:val="22"/>
          <w:szCs w:val="22"/>
        </w:rPr>
        <w:t xml:space="preserve"> </w:t>
      </w:r>
      <w:r w:rsidR="00722E21">
        <w:rPr>
          <w:sz w:val="22"/>
          <w:szCs w:val="22"/>
        </w:rPr>
        <w:t xml:space="preserve">the proportion of </w:t>
      </w:r>
      <w:r>
        <w:rPr>
          <w:sz w:val="22"/>
          <w:szCs w:val="22"/>
        </w:rPr>
        <w:t>one parent families (0.2%)</w:t>
      </w:r>
      <w:r w:rsidR="00142B1F">
        <w:rPr>
          <w:sz w:val="22"/>
          <w:szCs w:val="22"/>
        </w:rPr>
        <w:t>, same change in</w:t>
      </w:r>
      <w:r>
        <w:rPr>
          <w:sz w:val="22"/>
          <w:szCs w:val="22"/>
        </w:rPr>
        <w:t xml:space="preserve"> other households (-0.</w:t>
      </w:r>
      <w:r w:rsidR="00142B1F">
        <w:rPr>
          <w:sz w:val="22"/>
          <w:szCs w:val="22"/>
        </w:rPr>
        <w:t>1</w:t>
      </w:r>
      <w:r>
        <w:rPr>
          <w:sz w:val="22"/>
          <w:szCs w:val="22"/>
        </w:rPr>
        <w:t xml:space="preserve">%), and </w:t>
      </w:r>
      <w:r w:rsidR="00142B1F">
        <w:rPr>
          <w:sz w:val="22"/>
          <w:szCs w:val="22"/>
        </w:rPr>
        <w:t>a lower decrease</w:t>
      </w:r>
      <w:r>
        <w:rPr>
          <w:sz w:val="22"/>
          <w:szCs w:val="22"/>
        </w:rPr>
        <w:t xml:space="preserve"> in the proportion of group households (</w:t>
      </w:r>
      <w:r w:rsidR="00142B1F">
        <w:rPr>
          <w:sz w:val="22"/>
          <w:szCs w:val="22"/>
        </w:rPr>
        <w:t>-</w:t>
      </w:r>
      <w:r>
        <w:rPr>
          <w:sz w:val="22"/>
          <w:szCs w:val="22"/>
        </w:rPr>
        <w:t>0.</w:t>
      </w:r>
      <w:r w:rsidR="00142B1F">
        <w:rPr>
          <w:sz w:val="22"/>
          <w:szCs w:val="22"/>
        </w:rPr>
        <w:t>1</w:t>
      </w:r>
      <w:r>
        <w:rPr>
          <w:sz w:val="22"/>
          <w:szCs w:val="22"/>
        </w:rPr>
        <w:t>%).</w:t>
      </w:r>
    </w:p>
    <w:p w14:paraId="548AD88F" w14:textId="77777777" w:rsidR="00900EAF" w:rsidRPr="00D22A57" w:rsidRDefault="00900EAF" w:rsidP="00900EAF">
      <w:pPr>
        <w:numPr>
          <w:ilvl w:val="0"/>
          <w:numId w:val="24"/>
        </w:numPr>
        <w:spacing w:before="0" w:after="0"/>
        <w:rPr>
          <w:sz w:val="22"/>
          <w:szCs w:val="22"/>
        </w:rPr>
      </w:pPr>
      <w:r w:rsidRPr="00D22A57">
        <w:rPr>
          <w:sz w:val="22"/>
          <w:szCs w:val="22"/>
        </w:rPr>
        <w:t>Changes in individual LGAs are not all in line with this trend:</w:t>
      </w:r>
    </w:p>
    <w:p w14:paraId="6DA2B705" w14:textId="77777777" w:rsidR="00900EAF" w:rsidRDefault="00722E21" w:rsidP="00900EAF">
      <w:pPr>
        <w:numPr>
          <w:ilvl w:val="1"/>
          <w:numId w:val="24"/>
        </w:numPr>
        <w:spacing w:before="0" w:after="0"/>
        <w:rPr>
          <w:sz w:val="22"/>
          <w:szCs w:val="22"/>
        </w:rPr>
      </w:pPr>
      <w:r>
        <w:rPr>
          <w:sz w:val="22"/>
          <w:szCs w:val="22"/>
        </w:rPr>
        <w:t>Canterbury-Bankstown had larger declines in the proportion of couple families with children than the Greater Sydney average</w:t>
      </w:r>
      <w:r w:rsidR="00900EAF">
        <w:rPr>
          <w:sz w:val="22"/>
          <w:szCs w:val="22"/>
        </w:rPr>
        <w:t>.</w:t>
      </w:r>
    </w:p>
    <w:p w14:paraId="16542930" w14:textId="77777777" w:rsidR="00722E21" w:rsidRDefault="00491735" w:rsidP="00900EAF">
      <w:pPr>
        <w:numPr>
          <w:ilvl w:val="1"/>
          <w:numId w:val="24"/>
        </w:numPr>
        <w:spacing w:before="0" w:after="0"/>
        <w:rPr>
          <w:sz w:val="22"/>
          <w:szCs w:val="22"/>
        </w:rPr>
      </w:pPr>
      <w:r>
        <w:rPr>
          <w:sz w:val="22"/>
          <w:szCs w:val="22"/>
        </w:rPr>
        <w:t>Sutherland had larger increases in the proportion of couple family without children and one parent families.</w:t>
      </w:r>
    </w:p>
    <w:p w14:paraId="35BCDF58" w14:textId="77777777" w:rsidR="00491735" w:rsidRDefault="00491735" w:rsidP="00900EAF">
      <w:pPr>
        <w:numPr>
          <w:ilvl w:val="1"/>
          <w:numId w:val="24"/>
        </w:numPr>
        <w:spacing w:before="0" w:after="0"/>
        <w:rPr>
          <w:sz w:val="22"/>
          <w:szCs w:val="22"/>
        </w:rPr>
      </w:pPr>
      <w:r>
        <w:rPr>
          <w:sz w:val="22"/>
          <w:szCs w:val="22"/>
        </w:rPr>
        <w:t>Canterbury Bankstown had increases in the proportion of group households and other households, against the trend.</w:t>
      </w:r>
    </w:p>
    <w:p w14:paraId="29D102B2" w14:textId="77777777" w:rsidR="00491735" w:rsidRPr="001C5D46" w:rsidRDefault="00491735" w:rsidP="00900EAF">
      <w:pPr>
        <w:numPr>
          <w:ilvl w:val="1"/>
          <w:numId w:val="24"/>
        </w:numPr>
        <w:spacing w:before="0" w:after="0"/>
        <w:rPr>
          <w:sz w:val="22"/>
          <w:szCs w:val="22"/>
        </w:rPr>
      </w:pPr>
      <w:r>
        <w:rPr>
          <w:sz w:val="22"/>
          <w:szCs w:val="22"/>
        </w:rPr>
        <w:t>Georges River had a larger increase in the proportion of lone person households.</w:t>
      </w:r>
    </w:p>
    <w:p w14:paraId="52612454" w14:textId="77777777" w:rsidR="00900EAF" w:rsidRPr="00841E54" w:rsidRDefault="00900EAF" w:rsidP="00900EAF">
      <w:pPr>
        <w:numPr>
          <w:ilvl w:val="0"/>
          <w:numId w:val="24"/>
        </w:numPr>
        <w:spacing w:before="0" w:after="0"/>
        <w:rPr>
          <w:sz w:val="22"/>
          <w:szCs w:val="22"/>
        </w:rPr>
      </w:pPr>
      <w:r w:rsidRPr="00841E54">
        <w:rPr>
          <w:sz w:val="22"/>
          <w:szCs w:val="22"/>
        </w:rPr>
        <w:t xml:space="preserve">This data </w:t>
      </w:r>
      <w:r>
        <w:rPr>
          <w:sz w:val="22"/>
          <w:szCs w:val="22"/>
        </w:rPr>
        <w:t xml:space="preserve">on household types and changes in household types between the last two Census </w:t>
      </w:r>
      <w:r w:rsidRPr="00841E54">
        <w:rPr>
          <w:sz w:val="22"/>
          <w:szCs w:val="22"/>
        </w:rPr>
        <w:t>should be compared with the data on bedroom numbers to determine if there is a good fit between household types and housing stock</w:t>
      </w:r>
      <w:r>
        <w:rPr>
          <w:sz w:val="22"/>
          <w:szCs w:val="22"/>
        </w:rPr>
        <w:t xml:space="preserve"> and what the future housing needs are likely to be</w:t>
      </w:r>
      <w:r w:rsidRPr="00841E54">
        <w:rPr>
          <w:sz w:val="22"/>
          <w:szCs w:val="22"/>
        </w:rPr>
        <w:t xml:space="preserve">. </w:t>
      </w:r>
    </w:p>
    <w:p w14:paraId="73BB9729" w14:textId="77777777" w:rsidR="00900EAF" w:rsidRPr="009F1B21" w:rsidRDefault="00900EAF" w:rsidP="00900EAF">
      <w:pPr>
        <w:numPr>
          <w:ilvl w:val="0"/>
          <w:numId w:val="24"/>
        </w:numPr>
        <w:spacing w:before="0" w:after="0"/>
        <w:rPr>
          <w:sz w:val="22"/>
          <w:szCs w:val="22"/>
        </w:rPr>
      </w:pPr>
      <w:r w:rsidRPr="00841E54">
        <w:rPr>
          <w:sz w:val="22"/>
          <w:szCs w:val="22"/>
        </w:rPr>
        <w:t>Although there should be plenty of housing suitable for families of different sizes, there is also a need for a variety of dwellings with different bedroom numbers to suit couples and single person households</w:t>
      </w:r>
      <w:r w:rsidRPr="00841E54">
        <w:rPr>
          <w:rFonts w:cs="Arial"/>
          <w:sz w:val="22"/>
          <w:szCs w:val="22"/>
        </w:rPr>
        <w:t>.</w:t>
      </w:r>
    </w:p>
    <w:p w14:paraId="7EA2E844" w14:textId="77777777" w:rsidR="00900EAF" w:rsidRDefault="00900EAF" w:rsidP="00FE3F20">
      <w:pPr>
        <w:rPr>
          <w:color w:val="000000" w:themeColor="text1"/>
          <w:sz w:val="22"/>
          <w:szCs w:val="22"/>
        </w:rPr>
      </w:pPr>
    </w:p>
    <w:p w14:paraId="4AB579F4" w14:textId="77777777" w:rsidR="00B0226A" w:rsidRPr="00B0226A" w:rsidRDefault="00B0226A" w:rsidP="00B0226A">
      <w:pPr>
        <w:rPr>
          <w:sz w:val="22"/>
        </w:rPr>
      </w:pPr>
    </w:p>
    <w:p w14:paraId="2F146C38" w14:textId="77777777" w:rsidR="007F18C7" w:rsidRDefault="007F18C7" w:rsidP="0007114C">
      <w:pPr>
        <w:pStyle w:val="Heading2"/>
      </w:pPr>
      <w:r>
        <w:lastRenderedPageBreak/>
        <w:t>Household Size</w:t>
      </w:r>
    </w:p>
    <w:p w14:paraId="3D886D5F" w14:textId="77777777" w:rsidR="002046D0" w:rsidRDefault="002046D0" w:rsidP="002046D0">
      <w:pPr>
        <w:numPr>
          <w:ilvl w:val="0"/>
          <w:numId w:val="13"/>
        </w:numPr>
        <w:spacing w:before="0" w:after="0"/>
        <w:rPr>
          <w:sz w:val="22"/>
          <w:szCs w:val="22"/>
        </w:rPr>
      </w:pPr>
      <w:r>
        <w:rPr>
          <w:sz w:val="22"/>
          <w:szCs w:val="22"/>
        </w:rPr>
        <w:t>At the 2021 Census, the average household size for Greater Sydney was 2.7 persons per household – down from 2.8 persons per household in 2016 and the same as 2.7 persons per household in 2011.</w:t>
      </w:r>
    </w:p>
    <w:p w14:paraId="35D8A4DD" w14:textId="77777777" w:rsidR="002046D0" w:rsidRDefault="002046D0" w:rsidP="002046D0">
      <w:pPr>
        <w:numPr>
          <w:ilvl w:val="0"/>
          <w:numId w:val="13"/>
        </w:numPr>
        <w:spacing w:before="0" w:after="0"/>
        <w:rPr>
          <w:sz w:val="22"/>
          <w:szCs w:val="22"/>
        </w:rPr>
      </w:pPr>
      <w:r w:rsidRPr="00EC7920">
        <w:rPr>
          <w:sz w:val="22"/>
          <w:szCs w:val="22"/>
        </w:rPr>
        <w:t>Average household size</w:t>
      </w:r>
      <w:r w:rsidR="005373BC">
        <w:rPr>
          <w:sz w:val="22"/>
          <w:szCs w:val="22"/>
        </w:rPr>
        <w:t>s</w:t>
      </w:r>
      <w:r w:rsidRPr="00EC7920">
        <w:rPr>
          <w:sz w:val="22"/>
          <w:szCs w:val="22"/>
        </w:rPr>
        <w:t xml:space="preserve"> in </w:t>
      </w:r>
      <w:r>
        <w:rPr>
          <w:sz w:val="22"/>
          <w:szCs w:val="22"/>
        </w:rPr>
        <w:t>South District are at or above the Greater Sydney average, with</w:t>
      </w:r>
      <w:r w:rsidRPr="00EC7920">
        <w:rPr>
          <w:sz w:val="22"/>
          <w:szCs w:val="22"/>
        </w:rPr>
        <w:t xml:space="preserve"> </w:t>
      </w:r>
      <w:r>
        <w:rPr>
          <w:sz w:val="22"/>
          <w:szCs w:val="22"/>
        </w:rPr>
        <w:t>Canterbury-Bankstown the largest at an average of 2.9 persons per household, followed by Georges River with 2.8 and Sutherland with 2.7</w:t>
      </w:r>
      <w:r w:rsidRPr="00EC7920">
        <w:rPr>
          <w:sz w:val="22"/>
          <w:szCs w:val="22"/>
        </w:rPr>
        <w:t xml:space="preserve">.  </w:t>
      </w:r>
    </w:p>
    <w:p w14:paraId="53397379" w14:textId="77777777" w:rsidR="002046D0" w:rsidRPr="00EC7920" w:rsidRDefault="002046D0" w:rsidP="002046D0">
      <w:pPr>
        <w:numPr>
          <w:ilvl w:val="0"/>
          <w:numId w:val="13"/>
        </w:numPr>
        <w:spacing w:before="0" w:after="0"/>
        <w:rPr>
          <w:sz w:val="22"/>
          <w:szCs w:val="22"/>
        </w:rPr>
      </w:pPr>
      <w:r w:rsidRPr="00EC7920">
        <w:rPr>
          <w:sz w:val="22"/>
          <w:szCs w:val="22"/>
        </w:rPr>
        <w:t xml:space="preserve">Average household size declined in </w:t>
      </w:r>
      <w:r>
        <w:rPr>
          <w:sz w:val="22"/>
          <w:szCs w:val="22"/>
        </w:rPr>
        <w:t xml:space="preserve">Canterbury-Bankstown and Georges River </w:t>
      </w:r>
      <w:r w:rsidRPr="00EC7920">
        <w:rPr>
          <w:sz w:val="22"/>
          <w:szCs w:val="22"/>
        </w:rPr>
        <w:t>between 2016 and 20</w:t>
      </w:r>
      <w:r>
        <w:rPr>
          <w:sz w:val="22"/>
          <w:szCs w:val="22"/>
        </w:rPr>
        <w:t>21, while remaining stable in Sutherland</w:t>
      </w:r>
      <w:r w:rsidRPr="00EC7920">
        <w:rPr>
          <w:sz w:val="22"/>
          <w:szCs w:val="22"/>
        </w:rPr>
        <w:t>.</w:t>
      </w:r>
    </w:p>
    <w:p w14:paraId="5E0FC3D8" w14:textId="77777777" w:rsidR="002046D0" w:rsidRPr="00175B16" w:rsidRDefault="002046D0" w:rsidP="002046D0">
      <w:pPr>
        <w:numPr>
          <w:ilvl w:val="0"/>
          <w:numId w:val="13"/>
        </w:numPr>
        <w:spacing w:before="0" w:after="0"/>
        <w:rPr>
          <w:sz w:val="22"/>
          <w:szCs w:val="22"/>
        </w:rPr>
      </w:pPr>
      <w:r w:rsidRPr="00175B16">
        <w:rPr>
          <w:sz w:val="22"/>
          <w:szCs w:val="22"/>
        </w:rPr>
        <w:t>The table below gives the average household</w:t>
      </w:r>
      <w:r>
        <w:rPr>
          <w:sz w:val="22"/>
          <w:szCs w:val="22"/>
        </w:rPr>
        <w:t xml:space="preserve"> size in each of the South District LGAs as well as</w:t>
      </w:r>
      <w:r w:rsidRPr="00175B16">
        <w:rPr>
          <w:sz w:val="22"/>
          <w:szCs w:val="22"/>
        </w:rPr>
        <w:t xml:space="preserve"> </w:t>
      </w:r>
      <w:r>
        <w:rPr>
          <w:sz w:val="22"/>
          <w:szCs w:val="22"/>
        </w:rPr>
        <w:t xml:space="preserve">Greater Sydney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1DD91BF9" w14:textId="77777777" w:rsidR="00491735" w:rsidRDefault="00491735" w:rsidP="002046D0">
      <w:pPr>
        <w:spacing w:after="0"/>
        <w:rPr>
          <w:sz w:val="22"/>
          <w:szCs w:val="22"/>
        </w:rPr>
      </w:pPr>
    </w:p>
    <w:p w14:paraId="2D12E584" w14:textId="77777777" w:rsidR="002046D0" w:rsidRDefault="002046D0" w:rsidP="002046D0">
      <w:pPr>
        <w:spacing w:after="0"/>
        <w:ind w:left="360"/>
        <w:rPr>
          <w:sz w:val="22"/>
          <w:szCs w:val="22"/>
        </w:rPr>
      </w:pPr>
      <w:r w:rsidRPr="002046D0">
        <w:rPr>
          <w:noProof/>
        </w:rPr>
        <w:drawing>
          <wp:inline distT="0" distB="0" distL="0" distR="0" wp14:anchorId="6BC26DFB" wp14:editId="1D021EB6">
            <wp:extent cx="3552825" cy="1533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1533525"/>
                    </a:xfrm>
                    <a:prstGeom prst="rect">
                      <a:avLst/>
                    </a:prstGeom>
                    <a:noFill/>
                    <a:ln>
                      <a:noFill/>
                    </a:ln>
                  </pic:spPr>
                </pic:pic>
              </a:graphicData>
            </a:graphic>
          </wp:inline>
        </w:drawing>
      </w:r>
    </w:p>
    <w:p w14:paraId="7EDE3268" w14:textId="77777777" w:rsidR="002046D0" w:rsidRPr="002046D0" w:rsidRDefault="002046D0" w:rsidP="002046D0">
      <w:pPr>
        <w:spacing w:after="0"/>
        <w:rPr>
          <w:sz w:val="22"/>
          <w:szCs w:val="22"/>
        </w:rPr>
      </w:pPr>
    </w:p>
    <w:p w14:paraId="2D40C48E" w14:textId="77777777" w:rsidR="007E4104" w:rsidRDefault="007E4104" w:rsidP="0007114C">
      <w:pPr>
        <w:pStyle w:val="Heading2"/>
      </w:pPr>
      <w:r>
        <w:t>Income</w:t>
      </w:r>
    </w:p>
    <w:p w14:paraId="28C15055" w14:textId="77777777" w:rsidR="00014ACB" w:rsidRPr="00CA6695" w:rsidRDefault="00014ACB" w:rsidP="00014ACB">
      <w:pPr>
        <w:numPr>
          <w:ilvl w:val="0"/>
          <w:numId w:val="14"/>
        </w:numPr>
        <w:spacing w:before="0" w:after="0"/>
        <w:rPr>
          <w:sz w:val="22"/>
          <w:szCs w:val="22"/>
        </w:rPr>
      </w:pPr>
      <w:r w:rsidRPr="00CF2C0C">
        <w:rPr>
          <w:sz w:val="22"/>
          <w:szCs w:val="22"/>
        </w:rPr>
        <w:t>At the 2021 Census,</w:t>
      </w:r>
      <w:r>
        <w:rPr>
          <w:sz w:val="22"/>
          <w:szCs w:val="22"/>
        </w:rPr>
        <w:t xml:space="preserve"> high income households comprise the largest proportion of all households in Greater Sydney – unlike the Rest of NSW, where </w:t>
      </w:r>
      <w:r w:rsidRPr="00CF2C0C">
        <w:rPr>
          <w:sz w:val="22"/>
          <w:szCs w:val="22"/>
        </w:rPr>
        <w:t>low income households</w:t>
      </w:r>
      <w:r>
        <w:rPr>
          <w:sz w:val="22"/>
          <w:szCs w:val="22"/>
        </w:rPr>
        <w:t xml:space="preserve"> predominate</w:t>
      </w:r>
      <w:r w:rsidRPr="00CF2C0C">
        <w:rPr>
          <w:sz w:val="22"/>
          <w:szCs w:val="22"/>
        </w:rPr>
        <w:t>.</w:t>
      </w:r>
    </w:p>
    <w:p w14:paraId="1B339111" w14:textId="770A7951" w:rsidR="00014ACB" w:rsidRDefault="004051E5" w:rsidP="00014ACB">
      <w:pPr>
        <w:numPr>
          <w:ilvl w:val="0"/>
          <w:numId w:val="14"/>
        </w:numPr>
        <w:spacing w:before="0" w:after="0"/>
        <w:rPr>
          <w:sz w:val="22"/>
          <w:szCs w:val="22"/>
        </w:rPr>
      </w:pPr>
      <w:r>
        <w:rPr>
          <w:sz w:val="22"/>
          <w:szCs w:val="22"/>
        </w:rPr>
        <w:t>South</w:t>
      </w:r>
      <w:r w:rsidR="00014ACB">
        <w:rPr>
          <w:sz w:val="22"/>
          <w:szCs w:val="22"/>
        </w:rPr>
        <w:t xml:space="preserve"> </w:t>
      </w:r>
      <w:r w:rsidR="007C571B">
        <w:rPr>
          <w:sz w:val="22"/>
          <w:szCs w:val="22"/>
        </w:rPr>
        <w:t>District has a slightly</w:t>
      </w:r>
      <w:r w:rsidR="00014ACB">
        <w:rPr>
          <w:sz w:val="22"/>
          <w:szCs w:val="22"/>
        </w:rPr>
        <w:t xml:space="preserve"> higher proportion of low income households (33</w:t>
      </w:r>
      <w:r w:rsidR="007C571B">
        <w:rPr>
          <w:sz w:val="22"/>
          <w:szCs w:val="22"/>
        </w:rPr>
        <w:t>.2</w:t>
      </w:r>
      <w:r w:rsidR="00014ACB">
        <w:rPr>
          <w:sz w:val="22"/>
          <w:szCs w:val="22"/>
        </w:rPr>
        <w:t xml:space="preserve">% compared to 32.1%), </w:t>
      </w:r>
      <w:r w:rsidR="007C571B">
        <w:rPr>
          <w:sz w:val="22"/>
          <w:szCs w:val="22"/>
        </w:rPr>
        <w:t xml:space="preserve">exactly the same </w:t>
      </w:r>
      <w:r w:rsidR="00014ACB">
        <w:rPr>
          <w:sz w:val="22"/>
          <w:szCs w:val="22"/>
        </w:rPr>
        <w:t xml:space="preserve">proportion of moderate income households (18.2%) and </w:t>
      </w:r>
      <w:r w:rsidR="007C571B">
        <w:rPr>
          <w:sz w:val="22"/>
          <w:szCs w:val="22"/>
        </w:rPr>
        <w:t xml:space="preserve">slightly </w:t>
      </w:r>
      <w:r w:rsidR="00014ACB">
        <w:rPr>
          <w:sz w:val="22"/>
          <w:szCs w:val="22"/>
        </w:rPr>
        <w:t xml:space="preserve">lower proportions of high income households </w:t>
      </w:r>
      <w:r w:rsidR="00055E88">
        <w:rPr>
          <w:sz w:val="22"/>
          <w:szCs w:val="22"/>
        </w:rPr>
        <w:t xml:space="preserve">than the Greater Sydney average </w:t>
      </w:r>
      <w:r w:rsidR="00014ACB">
        <w:rPr>
          <w:sz w:val="22"/>
          <w:szCs w:val="22"/>
        </w:rPr>
        <w:t>(</w:t>
      </w:r>
      <w:r w:rsidR="007C571B">
        <w:rPr>
          <w:sz w:val="22"/>
          <w:szCs w:val="22"/>
        </w:rPr>
        <w:t>48.6</w:t>
      </w:r>
      <w:r w:rsidR="00014ACB">
        <w:rPr>
          <w:sz w:val="22"/>
          <w:szCs w:val="22"/>
        </w:rPr>
        <w:t xml:space="preserve">% compared to 49.7%).  </w:t>
      </w:r>
    </w:p>
    <w:p w14:paraId="2450F7E5" w14:textId="77777777" w:rsidR="00014ACB" w:rsidRDefault="00E715BD" w:rsidP="00014ACB">
      <w:pPr>
        <w:numPr>
          <w:ilvl w:val="0"/>
          <w:numId w:val="14"/>
        </w:numPr>
        <w:spacing w:before="0" w:after="0"/>
        <w:rPr>
          <w:sz w:val="22"/>
          <w:szCs w:val="22"/>
        </w:rPr>
      </w:pPr>
      <w:r>
        <w:rPr>
          <w:sz w:val="22"/>
          <w:szCs w:val="22"/>
        </w:rPr>
        <w:t>There is considerable variation within the District and n</w:t>
      </w:r>
      <w:r w:rsidR="00014ACB">
        <w:rPr>
          <w:sz w:val="22"/>
          <w:szCs w:val="22"/>
        </w:rPr>
        <w:t xml:space="preserve">ot all LGAs in </w:t>
      </w:r>
      <w:r w:rsidR="007C571B">
        <w:rPr>
          <w:sz w:val="22"/>
          <w:szCs w:val="22"/>
        </w:rPr>
        <w:t>South District</w:t>
      </w:r>
      <w:r w:rsidR="00014ACB">
        <w:rPr>
          <w:sz w:val="22"/>
          <w:szCs w:val="22"/>
        </w:rPr>
        <w:t xml:space="preserve"> conform to this pattern.  </w:t>
      </w:r>
    </w:p>
    <w:p w14:paraId="5142C0F1" w14:textId="77777777" w:rsidR="00014ACB" w:rsidRDefault="007C571B" w:rsidP="00014ACB">
      <w:pPr>
        <w:numPr>
          <w:ilvl w:val="1"/>
          <w:numId w:val="14"/>
        </w:numPr>
        <w:spacing w:before="0" w:after="0"/>
        <w:rPr>
          <w:sz w:val="22"/>
          <w:szCs w:val="22"/>
        </w:rPr>
      </w:pPr>
      <w:r>
        <w:rPr>
          <w:sz w:val="22"/>
          <w:szCs w:val="22"/>
        </w:rPr>
        <w:t>Canterbury-Bankstown has a much higher proportion of low income households (42.0%), while Georges River has a slightly lower proportion (30.0%) and Sutherland a much lower proportion (22.8%) than the Greater Sydney average.</w:t>
      </w:r>
    </w:p>
    <w:p w14:paraId="08F0B299" w14:textId="77777777" w:rsidR="00E715BD" w:rsidRDefault="00E715BD" w:rsidP="00E715BD">
      <w:pPr>
        <w:numPr>
          <w:ilvl w:val="1"/>
          <w:numId w:val="14"/>
        </w:numPr>
        <w:spacing w:before="0" w:after="0"/>
        <w:rPr>
          <w:sz w:val="22"/>
          <w:szCs w:val="22"/>
        </w:rPr>
      </w:pPr>
      <w:r>
        <w:rPr>
          <w:sz w:val="22"/>
          <w:szCs w:val="22"/>
        </w:rPr>
        <w:t xml:space="preserve">Sutherland has a much lower proportion of moderate income households (15.9%) while </w:t>
      </w:r>
      <w:r w:rsidR="007C571B" w:rsidRPr="007C571B">
        <w:rPr>
          <w:sz w:val="22"/>
          <w:szCs w:val="22"/>
        </w:rPr>
        <w:t>Canterbury</w:t>
      </w:r>
      <w:r w:rsidR="007C571B">
        <w:rPr>
          <w:sz w:val="22"/>
          <w:szCs w:val="22"/>
        </w:rPr>
        <w:t xml:space="preserve">-Bankstown and Georges River have higher </w:t>
      </w:r>
      <w:r>
        <w:rPr>
          <w:sz w:val="22"/>
          <w:szCs w:val="22"/>
        </w:rPr>
        <w:t xml:space="preserve">proportions </w:t>
      </w:r>
      <w:r w:rsidR="007C571B">
        <w:rPr>
          <w:sz w:val="22"/>
          <w:szCs w:val="22"/>
        </w:rPr>
        <w:t>(</w:t>
      </w:r>
      <w:r>
        <w:rPr>
          <w:sz w:val="22"/>
          <w:szCs w:val="22"/>
        </w:rPr>
        <w:t>19.6% and 18.7% respectively) than the Greater Sydney average</w:t>
      </w:r>
    </w:p>
    <w:p w14:paraId="15005148" w14:textId="77777777" w:rsidR="007C571B" w:rsidRDefault="00E715BD" w:rsidP="00E715BD">
      <w:pPr>
        <w:numPr>
          <w:ilvl w:val="1"/>
          <w:numId w:val="14"/>
        </w:numPr>
        <w:spacing w:before="0" w:after="0"/>
        <w:rPr>
          <w:sz w:val="22"/>
          <w:szCs w:val="22"/>
        </w:rPr>
      </w:pPr>
      <w:r>
        <w:rPr>
          <w:sz w:val="22"/>
          <w:szCs w:val="22"/>
        </w:rPr>
        <w:t>Canterbury-Bankstown has a much lower proportion of high income households (38.3%), while Georges River has a slightly higher proportion (51.3%) and Sutherland a much higher proportion (61.3%) of high income households than the average for Greater Sydney.</w:t>
      </w:r>
      <w:r w:rsidR="007C571B" w:rsidRPr="007C571B">
        <w:rPr>
          <w:sz w:val="22"/>
          <w:szCs w:val="22"/>
        </w:rPr>
        <w:t xml:space="preserve"> </w:t>
      </w:r>
    </w:p>
    <w:p w14:paraId="483AE563" w14:textId="77777777" w:rsidR="00014ACB" w:rsidRPr="00631691" w:rsidRDefault="00014ACB" w:rsidP="00014ACB">
      <w:pPr>
        <w:numPr>
          <w:ilvl w:val="0"/>
          <w:numId w:val="14"/>
        </w:numPr>
        <w:spacing w:before="0" w:after="0"/>
        <w:rPr>
          <w:sz w:val="22"/>
          <w:szCs w:val="22"/>
        </w:rPr>
      </w:pPr>
      <w:r w:rsidRPr="00631691">
        <w:rPr>
          <w:sz w:val="22"/>
          <w:szCs w:val="22"/>
        </w:rPr>
        <w:t xml:space="preserve">The graph and table below show the proportion of low, moderate and high income households in all the </w:t>
      </w:r>
      <w:r w:rsidR="00E715BD">
        <w:rPr>
          <w:sz w:val="22"/>
          <w:szCs w:val="22"/>
        </w:rPr>
        <w:t>South District</w:t>
      </w:r>
      <w:r w:rsidRPr="00631691">
        <w:rPr>
          <w:sz w:val="22"/>
          <w:szCs w:val="22"/>
        </w:rPr>
        <w:t xml:space="preserve"> LGAs, compared with the District and Greater Sydney at the 2021 Census.</w:t>
      </w:r>
    </w:p>
    <w:p w14:paraId="1CED6BBA" w14:textId="77777777" w:rsidR="00014ACB" w:rsidRDefault="00014ACB" w:rsidP="00014ACB">
      <w:pPr>
        <w:rPr>
          <w:sz w:val="22"/>
        </w:rPr>
      </w:pPr>
      <w:r>
        <w:rPr>
          <w:noProof/>
          <w:sz w:val="22"/>
        </w:rPr>
        <w:lastRenderedPageBreak/>
        <w:drawing>
          <wp:inline distT="0" distB="0" distL="0" distR="0" wp14:anchorId="7560EE93" wp14:editId="43EF3C3E">
            <wp:extent cx="6225238" cy="305752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0082" cy="3064816"/>
                    </a:xfrm>
                    <a:prstGeom prst="rect">
                      <a:avLst/>
                    </a:prstGeom>
                    <a:noFill/>
                  </pic:spPr>
                </pic:pic>
              </a:graphicData>
            </a:graphic>
          </wp:inline>
        </w:drawing>
      </w:r>
    </w:p>
    <w:p w14:paraId="5B4A7292" w14:textId="77777777" w:rsidR="00014ACB" w:rsidRDefault="00014ACB" w:rsidP="00014ACB">
      <w:pPr>
        <w:rPr>
          <w:sz w:val="22"/>
        </w:rPr>
      </w:pPr>
    </w:p>
    <w:p w14:paraId="521A2720" w14:textId="77777777" w:rsidR="00014ACB" w:rsidRDefault="00014ACB" w:rsidP="00014ACB">
      <w:pPr>
        <w:rPr>
          <w:sz w:val="22"/>
        </w:rPr>
      </w:pPr>
      <w:r>
        <w:rPr>
          <w:sz w:val="22"/>
        </w:rPr>
        <w:tab/>
      </w:r>
      <w:r w:rsidRPr="00014ACB">
        <w:rPr>
          <w:noProof/>
        </w:rPr>
        <w:drawing>
          <wp:inline distT="0" distB="0" distL="0" distR="0" wp14:anchorId="75620D7F" wp14:editId="4DACC1DD">
            <wp:extent cx="3371850" cy="1914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1914525"/>
                    </a:xfrm>
                    <a:prstGeom prst="rect">
                      <a:avLst/>
                    </a:prstGeom>
                    <a:noFill/>
                    <a:ln>
                      <a:noFill/>
                    </a:ln>
                  </pic:spPr>
                </pic:pic>
              </a:graphicData>
            </a:graphic>
          </wp:inline>
        </w:drawing>
      </w:r>
    </w:p>
    <w:p w14:paraId="505BD988" w14:textId="77777777" w:rsidR="00014ACB" w:rsidRPr="00014ACB" w:rsidRDefault="00014ACB" w:rsidP="00014ACB">
      <w:pPr>
        <w:rPr>
          <w:sz w:val="22"/>
        </w:rPr>
      </w:pPr>
    </w:p>
    <w:p w14:paraId="6EB50740" w14:textId="77777777" w:rsidR="007F2454" w:rsidRDefault="00014ACB" w:rsidP="00014ACB">
      <w:pPr>
        <w:numPr>
          <w:ilvl w:val="0"/>
          <w:numId w:val="14"/>
        </w:numPr>
        <w:spacing w:before="0" w:after="0"/>
        <w:rPr>
          <w:sz w:val="22"/>
          <w:szCs w:val="22"/>
        </w:rPr>
      </w:pPr>
      <w:r w:rsidRPr="00175B16">
        <w:rPr>
          <w:sz w:val="22"/>
          <w:szCs w:val="22"/>
        </w:rPr>
        <w:t>Between 201</w:t>
      </w:r>
      <w:r>
        <w:rPr>
          <w:sz w:val="22"/>
          <w:szCs w:val="22"/>
        </w:rPr>
        <w:t>6</w:t>
      </w:r>
      <w:r w:rsidRPr="00175B16">
        <w:rPr>
          <w:sz w:val="22"/>
          <w:szCs w:val="22"/>
        </w:rPr>
        <w:t xml:space="preserve"> and 20</w:t>
      </w:r>
      <w:r>
        <w:rPr>
          <w:sz w:val="22"/>
          <w:szCs w:val="22"/>
        </w:rPr>
        <w:t>21</w:t>
      </w:r>
      <w:r w:rsidRPr="00175B16">
        <w:rPr>
          <w:sz w:val="22"/>
          <w:szCs w:val="22"/>
        </w:rPr>
        <w:t xml:space="preserve"> the </w:t>
      </w:r>
      <w:r>
        <w:rPr>
          <w:sz w:val="22"/>
          <w:szCs w:val="22"/>
        </w:rPr>
        <w:t>number</w:t>
      </w:r>
      <w:r w:rsidRPr="00175B16">
        <w:rPr>
          <w:sz w:val="22"/>
          <w:szCs w:val="22"/>
        </w:rPr>
        <w:t xml:space="preserve"> of low income households </w:t>
      </w:r>
      <w:r>
        <w:rPr>
          <w:sz w:val="22"/>
          <w:szCs w:val="22"/>
        </w:rPr>
        <w:t>declined</w:t>
      </w:r>
      <w:r w:rsidRPr="00175B16">
        <w:rPr>
          <w:sz w:val="22"/>
          <w:szCs w:val="22"/>
        </w:rPr>
        <w:t xml:space="preserve"> </w:t>
      </w:r>
      <w:r>
        <w:rPr>
          <w:sz w:val="22"/>
          <w:szCs w:val="22"/>
        </w:rPr>
        <w:t xml:space="preserve">in </w:t>
      </w:r>
      <w:r w:rsidR="007F2454">
        <w:rPr>
          <w:sz w:val="22"/>
          <w:szCs w:val="22"/>
        </w:rPr>
        <w:t>South</w:t>
      </w:r>
      <w:r>
        <w:rPr>
          <w:sz w:val="22"/>
          <w:szCs w:val="22"/>
        </w:rPr>
        <w:t xml:space="preserve"> District as a whole (by -</w:t>
      </w:r>
      <w:r w:rsidR="007F2454">
        <w:rPr>
          <w:sz w:val="22"/>
          <w:szCs w:val="22"/>
        </w:rPr>
        <w:t>20</w:t>
      </w:r>
      <w:r>
        <w:rPr>
          <w:sz w:val="22"/>
          <w:szCs w:val="22"/>
        </w:rPr>
        <w:t>.7%</w:t>
      </w:r>
      <w:r w:rsidR="007F2454">
        <w:rPr>
          <w:sz w:val="22"/>
          <w:szCs w:val="22"/>
        </w:rPr>
        <w:t xml:space="preserve"> or -21,894</w:t>
      </w:r>
      <w:r>
        <w:rPr>
          <w:sz w:val="22"/>
          <w:szCs w:val="22"/>
        </w:rPr>
        <w:t xml:space="preserve">) </w:t>
      </w:r>
      <w:r w:rsidR="007F2454">
        <w:rPr>
          <w:sz w:val="22"/>
          <w:szCs w:val="22"/>
        </w:rPr>
        <w:t>and in</w:t>
      </w:r>
      <w:r>
        <w:rPr>
          <w:sz w:val="22"/>
          <w:szCs w:val="22"/>
        </w:rPr>
        <w:t xml:space="preserve"> every LGA</w:t>
      </w:r>
      <w:r w:rsidR="007F2454">
        <w:rPr>
          <w:sz w:val="22"/>
          <w:szCs w:val="22"/>
        </w:rPr>
        <w:t xml:space="preserve"> in the District</w:t>
      </w:r>
      <w:r w:rsidRPr="00175B16">
        <w:rPr>
          <w:sz w:val="22"/>
          <w:szCs w:val="22"/>
        </w:rPr>
        <w:t xml:space="preserve">.  </w:t>
      </w:r>
      <w:r>
        <w:rPr>
          <w:sz w:val="22"/>
          <w:szCs w:val="22"/>
        </w:rPr>
        <w:t xml:space="preserve">Low income households declined </w:t>
      </w:r>
      <w:r w:rsidR="007F2454">
        <w:rPr>
          <w:sz w:val="22"/>
          <w:szCs w:val="22"/>
        </w:rPr>
        <w:t>by -11,160 or -18.5% in Canterbury-Bankstown; by -5,147 or -24.7% in Georges River; and by -5,587 or -22.7% in Sutherland.</w:t>
      </w:r>
    </w:p>
    <w:p w14:paraId="31E42214" w14:textId="77777777" w:rsidR="0028070A" w:rsidRDefault="00014ACB" w:rsidP="00014ACB">
      <w:pPr>
        <w:numPr>
          <w:ilvl w:val="0"/>
          <w:numId w:val="14"/>
        </w:numPr>
        <w:spacing w:before="0" w:after="0"/>
        <w:rPr>
          <w:sz w:val="22"/>
          <w:szCs w:val="22"/>
        </w:rPr>
      </w:pPr>
      <w:r>
        <w:rPr>
          <w:sz w:val="22"/>
          <w:szCs w:val="22"/>
        </w:rPr>
        <w:t xml:space="preserve">Over the same period, the number of moderate income households </w:t>
      </w:r>
      <w:r w:rsidR="007F2454">
        <w:rPr>
          <w:sz w:val="22"/>
          <w:szCs w:val="22"/>
        </w:rPr>
        <w:t>declined</w:t>
      </w:r>
      <w:r>
        <w:rPr>
          <w:sz w:val="22"/>
          <w:szCs w:val="22"/>
        </w:rPr>
        <w:t xml:space="preserve"> in the District (</w:t>
      </w:r>
      <w:r w:rsidR="007F2454">
        <w:rPr>
          <w:sz w:val="22"/>
          <w:szCs w:val="22"/>
        </w:rPr>
        <w:t>-22.7</w:t>
      </w:r>
      <w:r>
        <w:rPr>
          <w:sz w:val="22"/>
          <w:szCs w:val="22"/>
        </w:rPr>
        <w:t>%</w:t>
      </w:r>
      <w:r w:rsidR="007F2454">
        <w:rPr>
          <w:sz w:val="22"/>
          <w:szCs w:val="22"/>
        </w:rPr>
        <w:t xml:space="preserve"> or -13,487</w:t>
      </w:r>
      <w:r>
        <w:rPr>
          <w:sz w:val="22"/>
          <w:szCs w:val="22"/>
        </w:rPr>
        <w:t xml:space="preserve">) </w:t>
      </w:r>
      <w:r w:rsidR="0028070A">
        <w:rPr>
          <w:sz w:val="22"/>
          <w:szCs w:val="22"/>
        </w:rPr>
        <w:t>and also</w:t>
      </w:r>
      <w:r>
        <w:rPr>
          <w:sz w:val="22"/>
          <w:szCs w:val="22"/>
        </w:rPr>
        <w:t xml:space="preserve"> in every LGA.  Moderate income households </w:t>
      </w:r>
      <w:r w:rsidR="0028070A">
        <w:rPr>
          <w:sz w:val="22"/>
          <w:szCs w:val="22"/>
        </w:rPr>
        <w:t>declined by -4,682 or -16.9% in Canterbury-Bankstown; by -2,881 or -22.8% in Georges River; and by -5,924 or 30.9% in Sutherland.</w:t>
      </w:r>
    </w:p>
    <w:p w14:paraId="17FC2E9D" w14:textId="77777777" w:rsidR="00014ACB" w:rsidRPr="0028070A" w:rsidRDefault="00014ACB" w:rsidP="00D46826">
      <w:pPr>
        <w:numPr>
          <w:ilvl w:val="0"/>
          <w:numId w:val="14"/>
        </w:numPr>
        <w:spacing w:before="0" w:after="0"/>
        <w:rPr>
          <w:sz w:val="22"/>
          <w:szCs w:val="22"/>
        </w:rPr>
      </w:pPr>
      <w:r w:rsidRPr="0028070A">
        <w:rPr>
          <w:sz w:val="22"/>
          <w:szCs w:val="22"/>
        </w:rPr>
        <w:t xml:space="preserve">High income households increased in </w:t>
      </w:r>
      <w:r w:rsidR="0028070A">
        <w:rPr>
          <w:sz w:val="22"/>
          <w:szCs w:val="22"/>
        </w:rPr>
        <w:t>South District</w:t>
      </w:r>
      <w:r w:rsidRPr="0028070A">
        <w:rPr>
          <w:sz w:val="22"/>
          <w:szCs w:val="22"/>
        </w:rPr>
        <w:t xml:space="preserve"> as a whole </w:t>
      </w:r>
      <w:r w:rsidR="0028070A">
        <w:rPr>
          <w:sz w:val="22"/>
          <w:szCs w:val="22"/>
        </w:rPr>
        <w:t xml:space="preserve">by 44,708 or 57.2% </w:t>
      </w:r>
      <w:r w:rsidRPr="0028070A">
        <w:rPr>
          <w:sz w:val="22"/>
          <w:szCs w:val="22"/>
        </w:rPr>
        <w:t>and in every LGA in the District.</w:t>
      </w:r>
      <w:r w:rsidR="0028070A">
        <w:rPr>
          <w:sz w:val="22"/>
          <w:szCs w:val="22"/>
        </w:rPr>
        <w:t xml:space="preserve">  High income households increased by 19,297 or 75.4% in Canterbury-Bankstown; by </w:t>
      </w:r>
      <w:r w:rsidR="000F5B81">
        <w:rPr>
          <w:sz w:val="22"/>
          <w:szCs w:val="22"/>
        </w:rPr>
        <w:t>9,758 or 56.9% in Georges River; and by 15,653 or 44.2% in Sutherland.</w:t>
      </w:r>
    </w:p>
    <w:p w14:paraId="4094EC3E" w14:textId="4BE6EEA4" w:rsidR="00014ACB" w:rsidRDefault="00014ACB" w:rsidP="00014ACB">
      <w:pPr>
        <w:numPr>
          <w:ilvl w:val="0"/>
          <w:numId w:val="14"/>
        </w:numPr>
        <w:spacing w:before="0" w:after="0"/>
        <w:rPr>
          <w:sz w:val="22"/>
          <w:szCs w:val="22"/>
        </w:rPr>
      </w:pPr>
      <w:r w:rsidRPr="00275430">
        <w:rPr>
          <w:sz w:val="22"/>
          <w:szCs w:val="22"/>
        </w:rPr>
        <w:t>The two graph</w:t>
      </w:r>
      <w:r w:rsidR="006E29E5">
        <w:rPr>
          <w:sz w:val="22"/>
          <w:szCs w:val="22"/>
        </w:rPr>
        <w:t>s</w:t>
      </w:r>
      <w:r w:rsidRPr="00275430">
        <w:rPr>
          <w:sz w:val="22"/>
          <w:szCs w:val="22"/>
        </w:rPr>
        <w:t xml:space="preserve"> below show the change in the number of low (including very low), moderate and high income households from 2016 to 2021 in </w:t>
      </w:r>
      <w:r w:rsidR="000F5B81">
        <w:rPr>
          <w:sz w:val="22"/>
          <w:szCs w:val="22"/>
        </w:rPr>
        <w:t>South District</w:t>
      </w:r>
      <w:r w:rsidRPr="00275430">
        <w:rPr>
          <w:sz w:val="22"/>
          <w:szCs w:val="22"/>
        </w:rPr>
        <w:t xml:space="preserve"> as a </w:t>
      </w:r>
      <w:r w:rsidR="000F5B81">
        <w:rPr>
          <w:sz w:val="22"/>
          <w:szCs w:val="22"/>
        </w:rPr>
        <w:t>whole</w:t>
      </w:r>
      <w:r w:rsidRPr="00275430">
        <w:rPr>
          <w:sz w:val="22"/>
          <w:szCs w:val="22"/>
        </w:rPr>
        <w:t xml:space="preserve"> and then in the individual LGAs in the District.</w:t>
      </w:r>
    </w:p>
    <w:p w14:paraId="2C37CAA3" w14:textId="77777777" w:rsidR="00014ACB" w:rsidRDefault="00014ACB" w:rsidP="008D1837">
      <w:pPr>
        <w:rPr>
          <w:sz w:val="22"/>
        </w:rPr>
      </w:pPr>
    </w:p>
    <w:p w14:paraId="736586F5" w14:textId="77777777" w:rsidR="008D1837" w:rsidRDefault="00800E7C" w:rsidP="008D1837">
      <w:pPr>
        <w:rPr>
          <w:sz w:val="22"/>
        </w:rPr>
      </w:pPr>
      <w:r>
        <w:rPr>
          <w:noProof/>
          <w:sz w:val="22"/>
        </w:rPr>
        <w:drawing>
          <wp:inline distT="0" distB="0" distL="0" distR="0" wp14:anchorId="77961785" wp14:editId="54113A28">
            <wp:extent cx="5761355" cy="31394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3139440"/>
                    </a:xfrm>
                    <a:prstGeom prst="rect">
                      <a:avLst/>
                    </a:prstGeom>
                    <a:noFill/>
                  </pic:spPr>
                </pic:pic>
              </a:graphicData>
            </a:graphic>
          </wp:inline>
        </w:drawing>
      </w:r>
    </w:p>
    <w:p w14:paraId="18F76A9B" w14:textId="77777777" w:rsidR="008D1837" w:rsidRDefault="001F79B0" w:rsidP="008D1837">
      <w:pPr>
        <w:rPr>
          <w:sz w:val="22"/>
        </w:rPr>
      </w:pPr>
      <w:r>
        <w:rPr>
          <w:noProof/>
          <w:sz w:val="22"/>
        </w:rPr>
        <w:drawing>
          <wp:inline distT="0" distB="0" distL="0" distR="0" wp14:anchorId="33F0FFA7" wp14:editId="3F8C6B75">
            <wp:extent cx="5968365" cy="326771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8365" cy="3267710"/>
                    </a:xfrm>
                    <a:prstGeom prst="rect">
                      <a:avLst/>
                    </a:prstGeom>
                    <a:noFill/>
                  </pic:spPr>
                </pic:pic>
              </a:graphicData>
            </a:graphic>
          </wp:inline>
        </w:drawing>
      </w:r>
    </w:p>
    <w:p w14:paraId="66C16AB0" w14:textId="77777777" w:rsidR="008D1837" w:rsidRDefault="008D1837" w:rsidP="008D1837">
      <w:pPr>
        <w:rPr>
          <w:sz w:val="22"/>
        </w:rPr>
      </w:pPr>
    </w:p>
    <w:p w14:paraId="2526CC7D" w14:textId="77777777" w:rsidR="00890E68" w:rsidRDefault="00890E68" w:rsidP="00890E68">
      <w:pPr>
        <w:numPr>
          <w:ilvl w:val="0"/>
          <w:numId w:val="28"/>
        </w:numPr>
        <w:spacing w:before="0" w:after="0"/>
        <w:rPr>
          <w:sz w:val="22"/>
          <w:szCs w:val="22"/>
        </w:rPr>
      </w:pPr>
      <w:r>
        <w:rPr>
          <w:sz w:val="22"/>
          <w:szCs w:val="22"/>
        </w:rPr>
        <w:t xml:space="preserve">Over the same period, the number of </w:t>
      </w:r>
      <w:r w:rsidRPr="00654C56">
        <w:rPr>
          <w:sz w:val="22"/>
          <w:szCs w:val="22"/>
          <w:u w:val="single"/>
        </w:rPr>
        <w:t>very low income</w:t>
      </w:r>
      <w:r>
        <w:rPr>
          <w:sz w:val="22"/>
          <w:szCs w:val="22"/>
        </w:rPr>
        <w:t xml:space="preserve"> </w:t>
      </w:r>
      <w:r w:rsidRPr="00654C56">
        <w:rPr>
          <w:b/>
          <w:sz w:val="22"/>
          <w:szCs w:val="22"/>
        </w:rPr>
        <w:t>renters</w:t>
      </w:r>
      <w:r>
        <w:rPr>
          <w:sz w:val="22"/>
          <w:szCs w:val="22"/>
        </w:rPr>
        <w:t xml:space="preserve"> </w:t>
      </w:r>
      <w:r w:rsidRPr="00654C56">
        <w:rPr>
          <w:sz w:val="22"/>
          <w:szCs w:val="22"/>
        </w:rPr>
        <w:t>and</w:t>
      </w:r>
      <w:r w:rsidRPr="00654C56">
        <w:rPr>
          <w:sz w:val="22"/>
          <w:szCs w:val="22"/>
          <w:u w:val="single"/>
        </w:rPr>
        <w:t xml:space="preserve"> low income</w:t>
      </w:r>
      <w:r>
        <w:rPr>
          <w:sz w:val="22"/>
          <w:szCs w:val="22"/>
        </w:rPr>
        <w:t xml:space="preserve"> </w:t>
      </w:r>
      <w:r w:rsidRPr="00654C56">
        <w:rPr>
          <w:b/>
          <w:sz w:val="22"/>
          <w:szCs w:val="22"/>
        </w:rPr>
        <w:t>renters</w:t>
      </w:r>
      <w:r>
        <w:rPr>
          <w:sz w:val="22"/>
          <w:szCs w:val="22"/>
        </w:rPr>
        <w:t xml:space="preserve"> increased in </w:t>
      </w:r>
      <w:r w:rsidR="002A1EEA">
        <w:rPr>
          <w:sz w:val="22"/>
          <w:szCs w:val="22"/>
        </w:rPr>
        <w:t>South District</w:t>
      </w:r>
      <w:r>
        <w:rPr>
          <w:sz w:val="22"/>
          <w:szCs w:val="22"/>
        </w:rPr>
        <w:t xml:space="preserve"> as a whole by </w:t>
      </w:r>
      <w:r w:rsidR="002A1EEA">
        <w:rPr>
          <w:sz w:val="22"/>
          <w:szCs w:val="22"/>
        </w:rPr>
        <w:t>12.6</w:t>
      </w:r>
      <w:r>
        <w:rPr>
          <w:sz w:val="22"/>
          <w:szCs w:val="22"/>
        </w:rPr>
        <w:t xml:space="preserve">% and </w:t>
      </w:r>
      <w:r w:rsidR="002A1EEA">
        <w:rPr>
          <w:sz w:val="22"/>
          <w:szCs w:val="22"/>
        </w:rPr>
        <w:t>16.6</w:t>
      </w:r>
      <w:r>
        <w:rPr>
          <w:sz w:val="22"/>
          <w:szCs w:val="22"/>
        </w:rPr>
        <w:t xml:space="preserve">% respectively, as well as increasing in </w:t>
      </w:r>
      <w:r w:rsidR="002A1EEA">
        <w:rPr>
          <w:sz w:val="22"/>
          <w:szCs w:val="22"/>
        </w:rPr>
        <w:t>each</w:t>
      </w:r>
      <w:r>
        <w:rPr>
          <w:sz w:val="22"/>
          <w:szCs w:val="22"/>
        </w:rPr>
        <w:t xml:space="preserve"> LGA in the District</w:t>
      </w:r>
      <w:r w:rsidR="002A1EEA">
        <w:rPr>
          <w:sz w:val="22"/>
          <w:szCs w:val="22"/>
        </w:rPr>
        <w:t xml:space="preserve">, with the exception of </w:t>
      </w:r>
      <w:r w:rsidR="002A1EEA" w:rsidRPr="009A11E6">
        <w:rPr>
          <w:sz w:val="22"/>
          <w:szCs w:val="22"/>
          <w:u w:val="single"/>
        </w:rPr>
        <w:t>very low income</w:t>
      </w:r>
      <w:r w:rsidR="002A1EEA">
        <w:rPr>
          <w:sz w:val="22"/>
          <w:szCs w:val="22"/>
        </w:rPr>
        <w:t xml:space="preserve"> </w:t>
      </w:r>
      <w:r w:rsidR="002A1EEA" w:rsidRPr="009A11E6">
        <w:rPr>
          <w:b/>
          <w:sz w:val="22"/>
          <w:szCs w:val="22"/>
        </w:rPr>
        <w:t>renters</w:t>
      </w:r>
      <w:r w:rsidR="002A1EEA">
        <w:rPr>
          <w:sz w:val="22"/>
          <w:szCs w:val="22"/>
        </w:rPr>
        <w:t xml:space="preserve"> in Georges River</w:t>
      </w:r>
      <w:r>
        <w:rPr>
          <w:sz w:val="22"/>
          <w:szCs w:val="22"/>
        </w:rPr>
        <w:t>.</w:t>
      </w:r>
    </w:p>
    <w:p w14:paraId="5C7F9620" w14:textId="77777777" w:rsidR="002A1EEA" w:rsidRDefault="002A1EEA" w:rsidP="00890E68">
      <w:pPr>
        <w:numPr>
          <w:ilvl w:val="0"/>
          <w:numId w:val="28"/>
        </w:numPr>
        <w:spacing w:before="0" w:after="0"/>
        <w:rPr>
          <w:sz w:val="22"/>
          <w:szCs w:val="22"/>
        </w:rPr>
      </w:pPr>
      <w:r>
        <w:rPr>
          <w:sz w:val="22"/>
          <w:szCs w:val="22"/>
          <w:u w:val="single"/>
        </w:rPr>
        <w:t>V</w:t>
      </w:r>
      <w:r w:rsidR="00890E68" w:rsidRPr="00E67DC6">
        <w:rPr>
          <w:sz w:val="22"/>
          <w:szCs w:val="22"/>
          <w:u w:val="single"/>
        </w:rPr>
        <w:t>ery low income</w:t>
      </w:r>
      <w:r w:rsidR="00890E68">
        <w:rPr>
          <w:sz w:val="22"/>
          <w:szCs w:val="22"/>
        </w:rPr>
        <w:t xml:space="preserve"> </w:t>
      </w:r>
      <w:r w:rsidR="00890E68" w:rsidRPr="00AB3EB1">
        <w:rPr>
          <w:b/>
          <w:sz w:val="22"/>
          <w:szCs w:val="22"/>
        </w:rPr>
        <w:t>renters</w:t>
      </w:r>
      <w:r w:rsidR="00890E68">
        <w:rPr>
          <w:sz w:val="22"/>
          <w:szCs w:val="22"/>
        </w:rPr>
        <w:t xml:space="preserve"> </w:t>
      </w:r>
      <w:r>
        <w:rPr>
          <w:sz w:val="22"/>
          <w:szCs w:val="22"/>
        </w:rPr>
        <w:t xml:space="preserve">increased by 15.0% in Canterbury-Bankstown and 26.6% in Sutherland but declined by </w:t>
      </w:r>
      <w:r w:rsidR="00E425DF">
        <w:rPr>
          <w:sz w:val="22"/>
          <w:szCs w:val="22"/>
        </w:rPr>
        <w:t>-</w:t>
      </w:r>
      <w:r>
        <w:rPr>
          <w:sz w:val="22"/>
          <w:szCs w:val="22"/>
        </w:rPr>
        <w:t>3.0% in Georges River.</w:t>
      </w:r>
    </w:p>
    <w:p w14:paraId="25AF24BD" w14:textId="77777777" w:rsidR="002A1EEA" w:rsidRDefault="002A1EEA" w:rsidP="00890E68">
      <w:pPr>
        <w:numPr>
          <w:ilvl w:val="0"/>
          <w:numId w:val="28"/>
        </w:numPr>
        <w:spacing w:before="0" w:after="0"/>
        <w:rPr>
          <w:sz w:val="22"/>
          <w:szCs w:val="22"/>
        </w:rPr>
      </w:pPr>
      <w:r>
        <w:rPr>
          <w:sz w:val="22"/>
          <w:szCs w:val="22"/>
          <w:u w:val="single"/>
        </w:rPr>
        <w:lastRenderedPageBreak/>
        <w:t xml:space="preserve">Low income </w:t>
      </w:r>
      <w:r>
        <w:rPr>
          <w:b/>
          <w:sz w:val="22"/>
          <w:szCs w:val="22"/>
        </w:rPr>
        <w:t>renters</w:t>
      </w:r>
      <w:r>
        <w:rPr>
          <w:sz w:val="22"/>
          <w:szCs w:val="22"/>
        </w:rPr>
        <w:t xml:space="preserve"> increased by 17.9% in Canterbury-Bankstown, 13.5% in Georges River and 16.7% in Sutherland.</w:t>
      </w:r>
    </w:p>
    <w:p w14:paraId="4B213BB4" w14:textId="77777777" w:rsidR="00890E68" w:rsidRPr="00E67DC6" w:rsidRDefault="00890E68" w:rsidP="00890E68">
      <w:pPr>
        <w:numPr>
          <w:ilvl w:val="0"/>
          <w:numId w:val="28"/>
        </w:numPr>
        <w:spacing w:before="0" w:after="0"/>
      </w:pPr>
      <w:r w:rsidRPr="00E67DC6">
        <w:rPr>
          <w:sz w:val="22"/>
          <w:szCs w:val="22"/>
        </w:rPr>
        <w:t xml:space="preserve">The increase in </w:t>
      </w:r>
      <w:r w:rsidRPr="009A11E6">
        <w:rPr>
          <w:sz w:val="22"/>
          <w:szCs w:val="22"/>
          <w:u w:val="single"/>
        </w:rPr>
        <w:t>very low</w:t>
      </w:r>
      <w:r w:rsidRPr="00E67DC6">
        <w:rPr>
          <w:sz w:val="22"/>
          <w:szCs w:val="22"/>
        </w:rPr>
        <w:t xml:space="preserve"> (</w:t>
      </w:r>
      <w:r w:rsidR="009A11E6">
        <w:rPr>
          <w:sz w:val="22"/>
          <w:szCs w:val="22"/>
        </w:rPr>
        <w:t>1,808</w:t>
      </w:r>
      <w:r>
        <w:rPr>
          <w:sz w:val="22"/>
          <w:szCs w:val="22"/>
        </w:rPr>
        <w:t>)</w:t>
      </w:r>
      <w:r w:rsidRPr="00E67DC6">
        <w:rPr>
          <w:sz w:val="22"/>
          <w:szCs w:val="22"/>
        </w:rPr>
        <w:t xml:space="preserve"> and </w:t>
      </w:r>
      <w:r w:rsidRPr="009A11E6">
        <w:rPr>
          <w:sz w:val="22"/>
          <w:szCs w:val="22"/>
          <w:u w:val="single"/>
        </w:rPr>
        <w:t>low income</w:t>
      </w:r>
      <w:r w:rsidRPr="00E67DC6">
        <w:rPr>
          <w:sz w:val="22"/>
          <w:szCs w:val="22"/>
        </w:rPr>
        <w:t xml:space="preserve"> </w:t>
      </w:r>
      <w:r w:rsidRPr="00E67DC6">
        <w:rPr>
          <w:b/>
          <w:sz w:val="22"/>
          <w:szCs w:val="22"/>
        </w:rPr>
        <w:t>renters</w:t>
      </w:r>
      <w:r w:rsidRPr="00E67DC6">
        <w:rPr>
          <w:sz w:val="22"/>
          <w:szCs w:val="22"/>
        </w:rPr>
        <w:t xml:space="preserve"> (</w:t>
      </w:r>
      <w:r w:rsidR="009A11E6">
        <w:rPr>
          <w:sz w:val="22"/>
          <w:szCs w:val="22"/>
        </w:rPr>
        <w:t>2,004</w:t>
      </w:r>
      <w:r w:rsidRPr="00E67DC6">
        <w:rPr>
          <w:sz w:val="22"/>
          <w:szCs w:val="22"/>
        </w:rPr>
        <w:t xml:space="preserve">) across </w:t>
      </w:r>
      <w:r w:rsidR="009A11E6">
        <w:rPr>
          <w:sz w:val="22"/>
          <w:szCs w:val="22"/>
        </w:rPr>
        <w:t>South District between 2016 and 2021 when low income earners declined in the District,</w:t>
      </w:r>
      <w:r w:rsidRPr="00E67DC6">
        <w:rPr>
          <w:sz w:val="22"/>
          <w:szCs w:val="22"/>
        </w:rPr>
        <w:t xml:space="preserve"> underlines the need to consider tenure as well as price point when considering responses to meet housing need</w:t>
      </w:r>
      <w:r>
        <w:rPr>
          <w:sz w:val="22"/>
          <w:szCs w:val="22"/>
        </w:rPr>
        <w:t>.</w:t>
      </w:r>
    </w:p>
    <w:p w14:paraId="54FC4873" w14:textId="77777777" w:rsidR="00890E68" w:rsidRPr="008D273E" w:rsidRDefault="00890E68" w:rsidP="00890E68">
      <w:pPr>
        <w:numPr>
          <w:ilvl w:val="0"/>
          <w:numId w:val="28"/>
        </w:numPr>
        <w:spacing w:before="0" w:after="0"/>
      </w:pPr>
      <w:r w:rsidRPr="00E67DC6">
        <w:rPr>
          <w:sz w:val="22"/>
          <w:szCs w:val="22"/>
        </w:rPr>
        <w:t xml:space="preserve">The graph below shows the change in the number of very low and low income </w:t>
      </w:r>
      <w:r w:rsidRPr="00E67DC6">
        <w:rPr>
          <w:b/>
          <w:sz w:val="22"/>
          <w:szCs w:val="22"/>
        </w:rPr>
        <w:t>renters</w:t>
      </w:r>
      <w:r w:rsidRPr="00E67DC6">
        <w:rPr>
          <w:sz w:val="22"/>
          <w:szCs w:val="22"/>
        </w:rPr>
        <w:t xml:space="preserve"> between 2016 and 2021 in </w:t>
      </w:r>
      <w:r w:rsidR="009A11E6">
        <w:rPr>
          <w:sz w:val="22"/>
          <w:szCs w:val="22"/>
        </w:rPr>
        <w:t>South District</w:t>
      </w:r>
      <w:r w:rsidRPr="00E67DC6">
        <w:rPr>
          <w:sz w:val="22"/>
          <w:szCs w:val="22"/>
        </w:rPr>
        <w:t xml:space="preserve"> LGAs.</w:t>
      </w:r>
    </w:p>
    <w:p w14:paraId="6D74385E" w14:textId="77777777" w:rsidR="008D1837" w:rsidRDefault="008D1837" w:rsidP="008D1837">
      <w:pPr>
        <w:rPr>
          <w:sz w:val="22"/>
        </w:rPr>
      </w:pPr>
    </w:p>
    <w:p w14:paraId="1EA37120" w14:textId="77777777" w:rsidR="008D1837" w:rsidRPr="008D1837" w:rsidRDefault="004051E5" w:rsidP="008D1837">
      <w:pPr>
        <w:rPr>
          <w:sz w:val="22"/>
        </w:rPr>
      </w:pPr>
      <w:r>
        <w:rPr>
          <w:noProof/>
          <w:sz w:val="22"/>
        </w:rPr>
        <w:drawing>
          <wp:inline distT="0" distB="0" distL="0" distR="0" wp14:anchorId="09032D6A" wp14:editId="59F2010A">
            <wp:extent cx="6017260" cy="329819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7260" cy="3298190"/>
                    </a:xfrm>
                    <a:prstGeom prst="rect">
                      <a:avLst/>
                    </a:prstGeom>
                    <a:noFill/>
                  </pic:spPr>
                </pic:pic>
              </a:graphicData>
            </a:graphic>
          </wp:inline>
        </w:drawing>
      </w:r>
    </w:p>
    <w:p w14:paraId="7F379F94" w14:textId="77777777" w:rsidR="004051E5" w:rsidRDefault="004051E5" w:rsidP="004051E5">
      <w:pPr>
        <w:spacing w:before="0" w:after="0"/>
        <w:ind w:left="360"/>
        <w:rPr>
          <w:sz w:val="22"/>
          <w:szCs w:val="22"/>
        </w:rPr>
      </w:pPr>
    </w:p>
    <w:p w14:paraId="13F1F17F" w14:textId="77777777" w:rsidR="004051E5" w:rsidRDefault="00E425DF" w:rsidP="004051E5">
      <w:pPr>
        <w:numPr>
          <w:ilvl w:val="0"/>
          <w:numId w:val="14"/>
        </w:numPr>
        <w:spacing w:before="0" w:after="0"/>
        <w:rPr>
          <w:sz w:val="22"/>
          <w:szCs w:val="22"/>
        </w:rPr>
      </w:pPr>
      <w:r>
        <w:rPr>
          <w:sz w:val="22"/>
          <w:szCs w:val="22"/>
        </w:rPr>
        <w:t>Sutherland ($2,288)</w:t>
      </w:r>
      <w:r w:rsidR="004051E5">
        <w:rPr>
          <w:sz w:val="22"/>
          <w:szCs w:val="22"/>
        </w:rPr>
        <w:t xml:space="preserve"> ha</w:t>
      </w:r>
      <w:r>
        <w:rPr>
          <w:sz w:val="22"/>
          <w:szCs w:val="22"/>
        </w:rPr>
        <w:t>s</w:t>
      </w:r>
      <w:r w:rsidR="004051E5" w:rsidRPr="004D5A70">
        <w:rPr>
          <w:sz w:val="22"/>
          <w:szCs w:val="22"/>
        </w:rPr>
        <w:t xml:space="preserve"> a higher median household weekly income at 2021 than </w:t>
      </w:r>
      <w:r w:rsidR="004051E5">
        <w:rPr>
          <w:sz w:val="22"/>
          <w:szCs w:val="22"/>
        </w:rPr>
        <w:t>the average for Greater Sydney</w:t>
      </w:r>
      <w:r w:rsidR="004051E5" w:rsidRPr="004D5A70">
        <w:rPr>
          <w:sz w:val="22"/>
          <w:szCs w:val="22"/>
        </w:rPr>
        <w:t xml:space="preserve"> ($</w:t>
      </w:r>
      <w:r w:rsidR="004051E5">
        <w:rPr>
          <w:sz w:val="22"/>
          <w:szCs w:val="22"/>
        </w:rPr>
        <w:t>2,077</w:t>
      </w:r>
      <w:r w:rsidR="004051E5" w:rsidRPr="004D5A70">
        <w:rPr>
          <w:sz w:val="22"/>
          <w:szCs w:val="22"/>
        </w:rPr>
        <w:t>)</w:t>
      </w:r>
      <w:r w:rsidR="004051E5">
        <w:rPr>
          <w:sz w:val="22"/>
          <w:szCs w:val="22"/>
        </w:rPr>
        <w:t xml:space="preserve">, while </w:t>
      </w:r>
      <w:r>
        <w:rPr>
          <w:sz w:val="22"/>
          <w:szCs w:val="22"/>
        </w:rPr>
        <w:t xml:space="preserve">both Canterbury-Bankstown and Georges River </w:t>
      </w:r>
      <w:r w:rsidR="004051E5">
        <w:rPr>
          <w:sz w:val="22"/>
          <w:szCs w:val="22"/>
        </w:rPr>
        <w:t>have a lower median income</w:t>
      </w:r>
      <w:r>
        <w:rPr>
          <w:sz w:val="22"/>
          <w:szCs w:val="22"/>
        </w:rPr>
        <w:t>, as can be seen in the table below.</w:t>
      </w:r>
    </w:p>
    <w:p w14:paraId="43CA4B03" w14:textId="77777777" w:rsidR="00014ACB" w:rsidRDefault="00014ACB" w:rsidP="004051E5">
      <w:pPr>
        <w:rPr>
          <w:sz w:val="22"/>
        </w:rPr>
      </w:pPr>
    </w:p>
    <w:p w14:paraId="42AC7C92" w14:textId="77777777" w:rsidR="004051E5" w:rsidRDefault="00E425DF" w:rsidP="004051E5">
      <w:pPr>
        <w:ind w:left="360"/>
        <w:rPr>
          <w:sz w:val="22"/>
        </w:rPr>
      </w:pPr>
      <w:r w:rsidRPr="00E425DF">
        <w:rPr>
          <w:noProof/>
        </w:rPr>
        <w:drawing>
          <wp:inline distT="0" distB="0" distL="0" distR="0" wp14:anchorId="341ECC0D" wp14:editId="1C86EC63">
            <wp:extent cx="3286125" cy="1257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6125" cy="1257300"/>
                    </a:xfrm>
                    <a:prstGeom prst="rect">
                      <a:avLst/>
                    </a:prstGeom>
                    <a:noFill/>
                    <a:ln>
                      <a:noFill/>
                    </a:ln>
                  </pic:spPr>
                </pic:pic>
              </a:graphicData>
            </a:graphic>
          </wp:inline>
        </w:drawing>
      </w:r>
    </w:p>
    <w:p w14:paraId="6E33B5A4" w14:textId="77777777" w:rsidR="004051E5" w:rsidRDefault="004051E5" w:rsidP="004051E5">
      <w:pPr>
        <w:ind w:left="360"/>
        <w:rPr>
          <w:sz w:val="22"/>
        </w:rPr>
      </w:pPr>
    </w:p>
    <w:p w14:paraId="50CC5528" w14:textId="77777777" w:rsidR="007E4104" w:rsidRDefault="007E4104" w:rsidP="0007114C">
      <w:pPr>
        <w:rPr>
          <w:noProof/>
        </w:rPr>
      </w:pPr>
    </w:p>
    <w:p w14:paraId="49EBADAE" w14:textId="77777777" w:rsidR="004051E5" w:rsidRDefault="004051E5" w:rsidP="0007114C"/>
    <w:p w14:paraId="7172D75B" w14:textId="253DB0FB" w:rsidR="007E4104" w:rsidRDefault="0007114C" w:rsidP="0007114C">
      <w:pPr>
        <w:pStyle w:val="Heading2"/>
      </w:pPr>
      <w:r>
        <w:lastRenderedPageBreak/>
        <w:t>Homeless</w:t>
      </w:r>
      <w:r w:rsidR="00A047AC">
        <w:t>ness</w:t>
      </w:r>
    </w:p>
    <w:p w14:paraId="5DBCB485" w14:textId="77777777" w:rsidR="00E237D7" w:rsidRDefault="00E237D7" w:rsidP="00E237D7">
      <w:pPr>
        <w:pStyle w:val="ListParagraph"/>
        <w:numPr>
          <w:ilvl w:val="0"/>
          <w:numId w:val="15"/>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2B6632E7" w14:textId="77777777" w:rsidR="00E237D7" w:rsidRDefault="00E237D7" w:rsidP="00E237D7">
      <w:pPr>
        <w:pStyle w:val="ListParagraph"/>
        <w:numPr>
          <w:ilvl w:val="0"/>
          <w:numId w:val="15"/>
        </w:numPr>
        <w:spacing w:before="0" w:after="0"/>
        <w:rPr>
          <w:sz w:val="22"/>
          <w:szCs w:val="22"/>
        </w:rPr>
      </w:pPr>
      <w:r w:rsidRPr="003B04F9">
        <w:rPr>
          <w:sz w:val="22"/>
          <w:szCs w:val="22"/>
        </w:rPr>
        <w:t>Inadequate income and inability to access affordable housing are significant contributing factors to homelessness, along with individual factors such as experience of family and domestic violence, ill health and disability.</w:t>
      </w:r>
    </w:p>
    <w:p w14:paraId="0ABB8091" w14:textId="77777777" w:rsidR="00523F90" w:rsidRDefault="00523F90" w:rsidP="00523F90">
      <w:pPr>
        <w:pStyle w:val="ListParagraph"/>
        <w:numPr>
          <w:ilvl w:val="0"/>
          <w:numId w:val="15"/>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563FFA70" w14:textId="77777777" w:rsidR="00523F90" w:rsidRDefault="00523F90" w:rsidP="00523F90">
      <w:pPr>
        <w:pStyle w:val="ListParagraph"/>
        <w:numPr>
          <w:ilvl w:val="1"/>
          <w:numId w:val="15"/>
        </w:numPr>
        <w:rPr>
          <w:sz w:val="22"/>
          <w:szCs w:val="22"/>
        </w:rPr>
      </w:pPr>
      <w:r w:rsidRPr="005E6C46">
        <w:rPr>
          <w:sz w:val="22"/>
          <w:szCs w:val="22"/>
        </w:rPr>
        <w:t>Is in a dwelling that is inadequate;</w:t>
      </w:r>
    </w:p>
    <w:p w14:paraId="6F778AA1" w14:textId="77777777" w:rsidR="00523F90" w:rsidRDefault="00523F90" w:rsidP="00523F90">
      <w:pPr>
        <w:pStyle w:val="ListParagraph"/>
        <w:numPr>
          <w:ilvl w:val="1"/>
          <w:numId w:val="15"/>
        </w:numPr>
        <w:rPr>
          <w:sz w:val="22"/>
          <w:szCs w:val="22"/>
        </w:rPr>
      </w:pPr>
      <w:r w:rsidRPr="005E6C46">
        <w:rPr>
          <w:sz w:val="22"/>
          <w:szCs w:val="22"/>
        </w:rPr>
        <w:t>Has no tenure or their initial tenure is short and not extendable; or</w:t>
      </w:r>
    </w:p>
    <w:p w14:paraId="580E2A90" w14:textId="77777777" w:rsidR="00523F90" w:rsidRDefault="00523F90" w:rsidP="00523F90">
      <w:pPr>
        <w:pStyle w:val="ListParagraph"/>
        <w:numPr>
          <w:ilvl w:val="1"/>
          <w:numId w:val="15"/>
        </w:numPr>
        <w:rPr>
          <w:sz w:val="22"/>
          <w:szCs w:val="22"/>
        </w:rPr>
      </w:pPr>
      <w:r w:rsidRPr="005E6C46">
        <w:rPr>
          <w:sz w:val="22"/>
          <w:szCs w:val="22"/>
        </w:rPr>
        <w:t>Does not allow them to have control of and access to space for social relations.”</w:t>
      </w:r>
    </w:p>
    <w:p w14:paraId="3283BBB1" w14:textId="77777777" w:rsidR="00523F90" w:rsidRPr="005E6C46" w:rsidRDefault="00523F90" w:rsidP="00523F90">
      <w:pPr>
        <w:pStyle w:val="ListParagraph"/>
        <w:numPr>
          <w:ilvl w:val="0"/>
          <w:numId w:val="15"/>
        </w:numPr>
        <w:rPr>
          <w:sz w:val="22"/>
          <w:szCs w:val="22"/>
        </w:rPr>
      </w:pPr>
      <w:r w:rsidRPr="005E6C46">
        <w:rPr>
          <w:sz w:val="22"/>
          <w:szCs w:val="22"/>
        </w:rPr>
        <w:t>The ABS uses “six operational groups for presenting estimates of people experiencing homelessness on Census night:</w:t>
      </w:r>
    </w:p>
    <w:p w14:paraId="02C445ED" w14:textId="77777777" w:rsidR="00523F90" w:rsidRDefault="00523F90" w:rsidP="00523F90">
      <w:pPr>
        <w:pStyle w:val="ListParagraph"/>
        <w:numPr>
          <w:ilvl w:val="1"/>
          <w:numId w:val="15"/>
        </w:numPr>
        <w:rPr>
          <w:sz w:val="22"/>
          <w:szCs w:val="22"/>
        </w:rPr>
      </w:pPr>
      <w:r>
        <w:rPr>
          <w:sz w:val="22"/>
          <w:szCs w:val="22"/>
        </w:rPr>
        <w:t>People living in improvised dwellings, tents or sleeping out</w:t>
      </w:r>
    </w:p>
    <w:p w14:paraId="3EBB59A8" w14:textId="77777777" w:rsidR="00523F90" w:rsidRDefault="00523F90" w:rsidP="00523F90">
      <w:pPr>
        <w:pStyle w:val="ListParagraph"/>
        <w:numPr>
          <w:ilvl w:val="1"/>
          <w:numId w:val="15"/>
        </w:numPr>
        <w:rPr>
          <w:sz w:val="22"/>
          <w:szCs w:val="22"/>
        </w:rPr>
      </w:pPr>
      <w:r>
        <w:rPr>
          <w:sz w:val="22"/>
          <w:szCs w:val="22"/>
        </w:rPr>
        <w:t>People living in supported accommodation for the homeless</w:t>
      </w:r>
    </w:p>
    <w:p w14:paraId="346B6397" w14:textId="77777777" w:rsidR="00523F90" w:rsidRDefault="00523F90" w:rsidP="00523F90">
      <w:pPr>
        <w:pStyle w:val="ListParagraph"/>
        <w:numPr>
          <w:ilvl w:val="1"/>
          <w:numId w:val="15"/>
        </w:numPr>
        <w:rPr>
          <w:sz w:val="22"/>
          <w:szCs w:val="22"/>
        </w:rPr>
      </w:pPr>
      <w:r>
        <w:rPr>
          <w:sz w:val="22"/>
          <w:szCs w:val="22"/>
        </w:rPr>
        <w:t>People staying temporarily with other households</w:t>
      </w:r>
    </w:p>
    <w:p w14:paraId="16D8755E" w14:textId="77777777" w:rsidR="00523F90" w:rsidRDefault="00523F90" w:rsidP="00523F90">
      <w:pPr>
        <w:pStyle w:val="ListParagraph"/>
        <w:numPr>
          <w:ilvl w:val="1"/>
          <w:numId w:val="15"/>
        </w:numPr>
        <w:rPr>
          <w:sz w:val="22"/>
          <w:szCs w:val="22"/>
        </w:rPr>
      </w:pPr>
      <w:r>
        <w:rPr>
          <w:sz w:val="22"/>
          <w:szCs w:val="22"/>
        </w:rPr>
        <w:t>People living in boarding houses</w:t>
      </w:r>
    </w:p>
    <w:p w14:paraId="091B6501" w14:textId="77777777" w:rsidR="00523F90" w:rsidRDefault="00523F90" w:rsidP="00523F90">
      <w:pPr>
        <w:pStyle w:val="ListParagraph"/>
        <w:numPr>
          <w:ilvl w:val="1"/>
          <w:numId w:val="15"/>
        </w:numPr>
        <w:rPr>
          <w:sz w:val="22"/>
          <w:szCs w:val="22"/>
        </w:rPr>
      </w:pPr>
      <w:r>
        <w:rPr>
          <w:sz w:val="22"/>
          <w:szCs w:val="22"/>
        </w:rPr>
        <w:t>People in other temporary lodgings</w:t>
      </w:r>
    </w:p>
    <w:p w14:paraId="7AFE8045" w14:textId="77777777" w:rsidR="00523F90" w:rsidRDefault="00523F90" w:rsidP="00523F90">
      <w:pPr>
        <w:pStyle w:val="ListParagraph"/>
        <w:numPr>
          <w:ilvl w:val="1"/>
          <w:numId w:val="15"/>
        </w:numPr>
        <w:rPr>
          <w:sz w:val="22"/>
          <w:szCs w:val="22"/>
        </w:rPr>
      </w:pPr>
      <w:r>
        <w:rPr>
          <w:sz w:val="22"/>
          <w:szCs w:val="22"/>
        </w:rPr>
        <w:t>People living in ‘severely’ overcrowded dwellings.”</w:t>
      </w:r>
    </w:p>
    <w:p w14:paraId="108BDE04" w14:textId="77777777" w:rsidR="00523F90" w:rsidRDefault="00523F90" w:rsidP="00523F90">
      <w:pPr>
        <w:pStyle w:val="ListParagraph"/>
        <w:numPr>
          <w:ilvl w:val="0"/>
          <w:numId w:val="15"/>
        </w:numPr>
        <w:rPr>
          <w:sz w:val="22"/>
          <w:szCs w:val="22"/>
        </w:rPr>
      </w:pPr>
      <w:r>
        <w:rPr>
          <w:sz w:val="22"/>
          <w:szCs w:val="22"/>
        </w:rPr>
        <w:t>The ABS “also compiles estimates from Census data for the following three groups of people who may be marginally housed but are not classified as homeless:</w:t>
      </w:r>
    </w:p>
    <w:p w14:paraId="60D0F82C" w14:textId="77777777" w:rsidR="00523F90" w:rsidRDefault="00523F90" w:rsidP="00523F90">
      <w:pPr>
        <w:pStyle w:val="ListParagraph"/>
        <w:numPr>
          <w:ilvl w:val="1"/>
          <w:numId w:val="15"/>
        </w:numPr>
        <w:rPr>
          <w:sz w:val="22"/>
          <w:szCs w:val="22"/>
        </w:rPr>
      </w:pPr>
      <w:r>
        <w:rPr>
          <w:sz w:val="22"/>
          <w:szCs w:val="22"/>
        </w:rPr>
        <w:t>People living in other crowded dwellings</w:t>
      </w:r>
    </w:p>
    <w:p w14:paraId="4BCD9D14" w14:textId="77777777" w:rsidR="00523F90" w:rsidRDefault="00523F90" w:rsidP="00523F90">
      <w:pPr>
        <w:pStyle w:val="ListParagraph"/>
        <w:numPr>
          <w:ilvl w:val="1"/>
          <w:numId w:val="15"/>
        </w:numPr>
        <w:rPr>
          <w:sz w:val="22"/>
          <w:szCs w:val="22"/>
        </w:rPr>
      </w:pPr>
      <w:r>
        <w:rPr>
          <w:sz w:val="22"/>
          <w:szCs w:val="22"/>
        </w:rPr>
        <w:t>People in other improvised dwellings</w:t>
      </w:r>
    </w:p>
    <w:p w14:paraId="2A0FF417" w14:textId="77777777" w:rsidR="00523F90" w:rsidRDefault="00523F90" w:rsidP="00523F90">
      <w:pPr>
        <w:pStyle w:val="ListParagraph"/>
        <w:numPr>
          <w:ilvl w:val="1"/>
          <w:numId w:val="15"/>
        </w:numPr>
        <w:rPr>
          <w:sz w:val="22"/>
          <w:szCs w:val="22"/>
        </w:rPr>
      </w:pPr>
      <w:r>
        <w:rPr>
          <w:sz w:val="22"/>
          <w:szCs w:val="22"/>
        </w:rPr>
        <w:t>People marginally housed in caravan parks.”</w:t>
      </w:r>
    </w:p>
    <w:p w14:paraId="4113D871" w14:textId="77777777" w:rsidR="00523F90" w:rsidRDefault="00523F90" w:rsidP="00523F90">
      <w:pPr>
        <w:pStyle w:val="ListParagraph"/>
        <w:numPr>
          <w:ilvl w:val="0"/>
          <w:numId w:val="15"/>
        </w:numPr>
        <w:rPr>
          <w:sz w:val="22"/>
          <w:szCs w:val="22"/>
        </w:rPr>
      </w:pPr>
      <w:r w:rsidRPr="00937307">
        <w:rPr>
          <w:sz w:val="22"/>
          <w:szCs w:val="22"/>
        </w:rPr>
        <w:t xml:space="preserve">The table below shows that ABS 2021 Census data for </w:t>
      </w:r>
      <w:r w:rsidR="00225F18">
        <w:rPr>
          <w:sz w:val="22"/>
          <w:szCs w:val="22"/>
        </w:rPr>
        <w:t>South District</w:t>
      </w:r>
      <w:r w:rsidRPr="00937307">
        <w:rPr>
          <w:sz w:val="22"/>
          <w:szCs w:val="22"/>
        </w:rPr>
        <w:t xml:space="preserve"> on the homeless and marginally housed.  </w:t>
      </w:r>
    </w:p>
    <w:p w14:paraId="316348D5" w14:textId="77777777" w:rsidR="00523F90" w:rsidRDefault="00523F90" w:rsidP="00523F90">
      <w:pPr>
        <w:pStyle w:val="ListParagraph"/>
        <w:numPr>
          <w:ilvl w:val="0"/>
          <w:numId w:val="15"/>
        </w:numPr>
        <w:rPr>
          <w:sz w:val="22"/>
          <w:szCs w:val="22"/>
        </w:rPr>
      </w:pPr>
      <w:r w:rsidRPr="00937307">
        <w:rPr>
          <w:sz w:val="22"/>
          <w:szCs w:val="22"/>
        </w:rPr>
        <w:t>Note that due to additional assistance provided during the pandemic, the number of people counted as homeless on Census night in 2021 is lower than at the 2016 Census.</w:t>
      </w:r>
      <w:r>
        <w:rPr>
          <w:sz w:val="22"/>
          <w:szCs w:val="22"/>
        </w:rPr>
        <w:t xml:space="preserve">  Nevertheless, there were </w:t>
      </w:r>
      <w:r w:rsidR="00854267">
        <w:rPr>
          <w:sz w:val="22"/>
          <w:szCs w:val="22"/>
        </w:rPr>
        <w:t>3,466</w:t>
      </w:r>
      <w:r>
        <w:rPr>
          <w:sz w:val="22"/>
          <w:szCs w:val="22"/>
        </w:rPr>
        <w:t xml:space="preserve"> people counted as homeless in </w:t>
      </w:r>
      <w:r w:rsidR="00225F18">
        <w:rPr>
          <w:sz w:val="22"/>
          <w:szCs w:val="22"/>
        </w:rPr>
        <w:t>South District</w:t>
      </w:r>
      <w:r>
        <w:rPr>
          <w:sz w:val="22"/>
          <w:szCs w:val="22"/>
        </w:rPr>
        <w:t xml:space="preserve"> at the 2021 Census and a further 4,</w:t>
      </w:r>
      <w:r w:rsidR="00854267">
        <w:rPr>
          <w:sz w:val="22"/>
          <w:szCs w:val="22"/>
        </w:rPr>
        <w:t>898</w:t>
      </w:r>
      <w:r>
        <w:rPr>
          <w:sz w:val="22"/>
          <w:szCs w:val="22"/>
        </w:rPr>
        <w:t xml:space="preserve"> who were counted as marginally housed.</w:t>
      </w:r>
    </w:p>
    <w:p w14:paraId="48EDEECB" w14:textId="77777777" w:rsidR="00523F90" w:rsidRPr="00222177" w:rsidRDefault="00523F90" w:rsidP="00523F90">
      <w:pPr>
        <w:pStyle w:val="ListParagraph"/>
        <w:numPr>
          <w:ilvl w:val="0"/>
          <w:numId w:val="15"/>
        </w:numPr>
        <w:rPr>
          <w:sz w:val="22"/>
          <w:szCs w:val="22"/>
        </w:rPr>
      </w:pPr>
      <w:r w:rsidRPr="00222177">
        <w:rPr>
          <w:sz w:val="22"/>
          <w:szCs w:val="22"/>
        </w:rPr>
        <w:t>Of those who were counted as homeless, the largest number were people living in severely crowded dwellings (2,</w:t>
      </w:r>
      <w:r w:rsidR="00854267">
        <w:rPr>
          <w:sz w:val="22"/>
          <w:szCs w:val="22"/>
        </w:rPr>
        <w:t>606</w:t>
      </w:r>
      <w:r w:rsidRPr="00222177">
        <w:rPr>
          <w:sz w:val="22"/>
          <w:szCs w:val="22"/>
        </w:rPr>
        <w:t xml:space="preserve"> or </w:t>
      </w:r>
      <w:r w:rsidR="00854267">
        <w:rPr>
          <w:sz w:val="22"/>
          <w:szCs w:val="22"/>
        </w:rPr>
        <w:t>75.2</w:t>
      </w:r>
      <w:r w:rsidRPr="00222177">
        <w:rPr>
          <w:sz w:val="22"/>
          <w:szCs w:val="22"/>
        </w:rPr>
        <w:t>%),</w:t>
      </w:r>
      <w:r w:rsidR="00854267">
        <w:rPr>
          <w:sz w:val="22"/>
          <w:szCs w:val="22"/>
        </w:rPr>
        <w:t xml:space="preserve"> followed by</w:t>
      </w:r>
      <w:r w:rsidRPr="00222177">
        <w:rPr>
          <w:sz w:val="22"/>
          <w:szCs w:val="22"/>
        </w:rPr>
        <w:t xml:space="preserve"> </w:t>
      </w:r>
      <w:r w:rsidR="00854267" w:rsidRPr="00222177">
        <w:rPr>
          <w:sz w:val="22"/>
          <w:szCs w:val="22"/>
        </w:rPr>
        <w:t>people living in boarding houses (</w:t>
      </w:r>
      <w:r w:rsidR="00854267">
        <w:rPr>
          <w:sz w:val="22"/>
          <w:szCs w:val="22"/>
        </w:rPr>
        <w:t xml:space="preserve">418 or 12.1%), </w:t>
      </w:r>
      <w:r w:rsidRPr="00222177">
        <w:rPr>
          <w:sz w:val="22"/>
          <w:szCs w:val="22"/>
        </w:rPr>
        <w:t>then people in supported accommodation for the homeless (</w:t>
      </w:r>
      <w:r w:rsidR="00854267">
        <w:rPr>
          <w:sz w:val="22"/>
          <w:szCs w:val="22"/>
        </w:rPr>
        <w:t>246</w:t>
      </w:r>
      <w:r w:rsidRPr="00222177">
        <w:rPr>
          <w:sz w:val="22"/>
          <w:szCs w:val="22"/>
        </w:rPr>
        <w:t xml:space="preserve"> or </w:t>
      </w:r>
      <w:r w:rsidR="00854267">
        <w:rPr>
          <w:sz w:val="22"/>
          <w:szCs w:val="22"/>
        </w:rPr>
        <w:t>7.1</w:t>
      </w:r>
      <w:r w:rsidRPr="00222177">
        <w:rPr>
          <w:sz w:val="22"/>
          <w:szCs w:val="22"/>
        </w:rPr>
        <w:t>%).  Of those who were counted as marginally housed, the overwhelming majority were people living in other crowded dwellings (</w:t>
      </w:r>
      <w:r>
        <w:rPr>
          <w:sz w:val="22"/>
          <w:szCs w:val="22"/>
        </w:rPr>
        <w:t>4,</w:t>
      </w:r>
      <w:r w:rsidR="0035431E">
        <w:rPr>
          <w:sz w:val="22"/>
          <w:szCs w:val="22"/>
        </w:rPr>
        <w:t>898</w:t>
      </w:r>
      <w:r w:rsidRPr="00222177">
        <w:rPr>
          <w:sz w:val="22"/>
          <w:szCs w:val="22"/>
        </w:rPr>
        <w:t xml:space="preserve"> or 99.</w:t>
      </w:r>
      <w:r w:rsidR="0035431E">
        <w:rPr>
          <w:sz w:val="22"/>
          <w:szCs w:val="22"/>
        </w:rPr>
        <w:t>1</w:t>
      </w:r>
      <w:r w:rsidRPr="00222177">
        <w:rPr>
          <w:sz w:val="22"/>
          <w:szCs w:val="22"/>
        </w:rPr>
        <w:t xml:space="preserve">%).  </w:t>
      </w:r>
    </w:p>
    <w:p w14:paraId="6AEEAC4C" w14:textId="77777777" w:rsidR="00523F90" w:rsidRPr="0086418D" w:rsidRDefault="00523F90" w:rsidP="00523F90">
      <w:pPr>
        <w:pStyle w:val="ListParagraph"/>
        <w:numPr>
          <w:ilvl w:val="0"/>
          <w:numId w:val="15"/>
        </w:numPr>
        <w:rPr>
          <w:sz w:val="22"/>
          <w:szCs w:val="22"/>
        </w:rPr>
      </w:pPr>
      <w:r w:rsidRPr="0086418D">
        <w:rPr>
          <w:sz w:val="22"/>
          <w:szCs w:val="22"/>
        </w:rPr>
        <w:t>This clearly indicates the need for more affordable rental housing.</w:t>
      </w:r>
    </w:p>
    <w:p w14:paraId="6154D58B" w14:textId="77777777" w:rsidR="00E237D7" w:rsidRDefault="00E237D7" w:rsidP="00523F90">
      <w:pPr>
        <w:rPr>
          <w:sz w:val="22"/>
          <w:szCs w:val="22"/>
        </w:rPr>
      </w:pPr>
    </w:p>
    <w:p w14:paraId="0E91321B" w14:textId="77777777" w:rsidR="00523F90" w:rsidRPr="00523F90" w:rsidRDefault="0035431E" w:rsidP="00523F90">
      <w:pPr>
        <w:rPr>
          <w:sz w:val="22"/>
          <w:szCs w:val="22"/>
        </w:rPr>
      </w:pPr>
      <w:r w:rsidRPr="0035431E">
        <w:rPr>
          <w:noProof/>
        </w:rPr>
        <w:lastRenderedPageBreak/>
        <w:drawing>
          <wp:inline distT="0" distB="0" distL="0" distR="0" wp14:anchorId="7F274763" wp14:editId="20EA8E5D">
            <wp:extent cx="6232603" cy="216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35789" cy="2163280"/>
                    </a:xfrm>
                    <a:prstGeom prst="rect">
                      <a:avLst/>
                    </a:prstGeom>
                    <a:noFill/>
                    <a:ln>
                      <a:noFill/>
                    </a:ln>
                  </pic:spPr>
                </pic:pic>
              </a:graphicData>
            </a:graphic>
          </wp:inline>
        </w:drawing>
      </w:r>
    </w:p>
    <w:p w14:paraId="733BEBE7" w14:textId="77777777" w:rsidR="00492E76" w:rsidRPr="00492E76" w:rsidRDefault="00492E76" w:rsidP="00492E76">
      <w:pPr>
        <w:spacing w:before="0" w:after="0"/>
        <w:rPr>
          <w:sz w:val="22"/>
          <w:szCs w:val="22"/>
        </w:rPr>
      </w:pPr>
    </w:p>
    <w:p w14:paraId="5CD602AA" w14:textId="77777777" w:rsidR="0059092A" w:rsidRPr="0033136D" w:rsidRDefault="0059092A" w:rsidP="0059092A">
      <w:pPr>
        <w:pStyle w:val="ListParagraph"/>
        <w:numPr>
          <w:ilvl w:val="0"/>
          <w:numId w:val="32"/>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19311671" w14:textId="77777777" w:rsidR="0059092A" w:rsidRPr="00C8457E" w:rsidRDefault="0059092A" w:rsidP="0059092A">
      <w:pPr>
        <w:pStyle w:val="ListParagraph"/>
        <w:numPr>
          <w:ilvl w:val="0"/>
          <w:numId w:val="32"/>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0B36A8FF" w14:textId="77777777" w:rsidR="0059092A" w:rsidRDefault="0059092A" w:rsidP="0059092A">
      <w:pPr>
        <w:pStyle w:val="ListParagraph"/>
        <w:numPr>
          <w:ilvl w:val="0"/>
          <w:numId w:val="32"/>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4AFDFE1A" w14:textId="77777777" w:rsidR="0059092A" w:rsidRPr="00D123CB" w:rsidRDefault="0059092A" w:rsidP="0059092A">
      <w:pPr>
        <w:pStyle w:val="ListParagraph"/>
        <w:numPr>
          <w:ilvl w:val="0"/>
          <w:numId w:val="32"/>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0D09FF85" w14:textId="77777777" w:rsidR="00492E76" w:rsidRDefault="00492E76" w:rsidP="00492E76">
      <w:pPr>
        <w:pStyle w:val="ListParagraph"/>
        <w:numPr>
          <w:ilvl w:val="0"/>
          <w:numId w:val="32"/>
        </w:numPr>
        <w:spacing w:before="0" w:after="0"/>
        <w:rPr>
          <w:sz w:val="22"/>
          <w:szCs w:val="22"/>
        </w:rPr>
      </w:pPr>
      <w:r>
        <w:rPr>
          <w:sz w:val="22"/>
          <w:szCs w:val="22"/>
        </w:rPr>
        <w:t>The table below gives the street count results for the South District locations.</w:t>
      </w:r>
    </w:p>
    <w:p w14:paraId="539C3D26" w14:textId="77777777" w:rsidR="00E237D7" w:rsidRDefault="0059092A" w:rsidP="00492E76">
      <w:pPr>
        <w:pStyle w:val="Heading2"/>
        <w:ind w:left="360"/>
        <w:rPr>
          <w:b w:val="0"/>
          <w:sz w:val="22"/>
          <w:szCs w:val="22"/>
        </w:rPr>
      </w:pPr>
      <w:r w:rsidRPr="0059092A">
        <w:rPr>
          <w:noProof/>
        </w:rPr>
        <w:drawing>
          <wp:inline distT="0" distB="0" distL="0" distR="0" wp14:anchorId="616440C1" wp14:editId="5E150414">
            <wp:extent cx="5707324" cy="1246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854" cy="1248773"/>
                    </a:xfrm>
                    <a:prstGeom prst="rect">
                      <a:avLst/>
                    </a:prstGeom>
                    <a:noFill/>
                    <a:ln>
                      <a:noFill/>
                    </a:ln>
                  </pic:spPr>
                </pic:pic>
              </a:graphicData>
            </a:graphic>
          </wp:inline>
        </w:drawing>
      </w:r>
    </w:p>
    <w:p w14:paraId="34B73E6A" w14:textId="77777777" w:rsidR="00E237D7" w:rsidRDefault="00E237D7" w:rsidP="00C83CAD">
      <w:pPr>
        <w:pStyle w:val="Heading2"/>
      </w:pPr>
    </w:p>
    <w:p w14:paraId="74E236E1" w14:textId="77777777" w:rsidR="00E237D7" w:rsidRDefault="00E237D7" w:rsidP="00E237D7">
      <w:pPr>
        <w:pStyle w:val="Heading2"/>
        <w:rPr>
          <w:b w:val="0"/>
        </w:rPr>
      </w:pPr>
      <w:r>
        <w:t>People with Disability</w:t>
      </w:r>
    </w:p>
    <w:p w14:paraId="256055CB" w14:textId="77777777" w:rsidR="00E237D7" w:rsidRDefault="00E237D7" w:rsidP="00E237D7">
      <w:pPr>
        <w:pStyle w:val="ListParagraph"/>
        <w:numPr>
          <w:ilvl w:val="0"/>
          <w:numId w:val="31"/>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7BC8108E" w14:textId="77777777" w:rsidR="00E237D7" w:rsidRDefault="00E237D7" w:rsidP="00E237D7">
      <w:pPr>
        <w:pStyle w:val="ListParagraph"/>
        <w:numPr>
          <w:ilvl w:val="0"/>
          <w:numId w:val="31"/>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45300030" w14:textId="77777777" w:rsidR="00E237D7" w:rsidRDefault="00E237D7" w:rsidP="00E237D7">
      <w:pPr>
        <w:pStyle w:val="ListParagraph"/>
        <w:numPr>
          <w:ilvl w:val="0"/>
          <w:numId w:val="31"/>
        </w:numPr>
        <w:rPr>
          <w:sz w:val="22"/>
          <w:szCs w:val="22"/>
        </w:rPr>
      </w:pPr>
      <w:r>
        <w:rPr>
          <w:sz w:val="22"/>
          <w:szCs w:val="22"/>
        </w:rPr>
        <w:t>The survey data shows:</w:t>
      </w:r>
    </w:p>
    <w:p w14:paraId="5D83FACA" w14:textId="77777777" w:rsidR="00E237D7" w:rsidRPr="004029DC" w:rsidRDefault="00E237D7" w:rsidP="00E237D7">
      <w:pPr>
        <w:pStyle w:val="ListParagraph"/>
        <w:numPr>
          <w:ilvl w:val="1"/>
          <w:numId w:val="31"/>
        </w:numPr>
        <w:rPr>
          <w:sz w:val="22"/>
          <w:szCs w:val="22"/>
        </w:rPr>
      </w:pPr>
      <w:r w:rsidRPr="004029DC">
        <w:rPr>
          <w:sz w:val="22"/>
          <w:szCs w:val="22"/>
        </w:rPr>
        <w:lastRenderedPageBreak/>
        <w:t>7.6% of children aged 0–14 have disability</w:t>
      </w:r>
    </w:p>
    <w:p w14:paraId="2B3910EB" w14:textId="77777777" w:rsidR="00E237D7" w:rsidRPr="004029DC" w:rsidRDefault="00E237D7" w:rsidP="00E237D7">
      <w:pPr>
        <w:pStyle w:val="ListParagraph"/>
        <w:numPr>
          <w:ilvl w:val="1"/>
          <w:numId w:val="31"/>
        </w:numPr>
        <w:rPr>
          <w:sz w:val="22"/>
          <w:szCs w:val="22"/>
        </w:rPr>
      </w:pPr>
      <w:r w:rsidRPr="004029DC">
        <w:rPr>
          <w:sz w:val="22"/>
          <w:szCs w:val="22"/>
        </w:rPr>
        <w:t>9.3% of people aged 15–24 have disability</w:t>
      </w:r>
    </w:p>
    <w:p w14:paraId="474AD2AD" w14:textId="77777777" w:rsidR="00E237D7" w:rsidRPr="004029DC" w:rsidRDefault="00E237D7" w:rsidP="00E237D7">
      <w:pPr>
        <w:pStyle w:val="ListParagraph"/>
        <w:numPr>
          <w:ilvl w:val="1"/>
          <w:numId w:val="31"/>
        </w:numPr>
        <w:rPr>
          <w:sz w:val="22"/>
          <w:szCs w:val="22"/>
        </w:rPr>
      </w:pPr>
      <w:r w:rsidRPr="004029DC">
        <w:rPr>
          <w:sz w:val="22"/>
          <w:szCs w:val="22"/>
        </w:rPr>
        <w:t>13% of people aged 15–64 have disability</w:t>
      </w:r>
    </w:p>
    <w:p w14:paraId="1C80FF61" w14:textId="77777777" w:rsidR="00E237D7" w:rsidRDefault="00E237D7" w:rsidP="00E237D7">
      <w:pPr>
        <w:pStyle w:val="ListParagraph"/>
        <w:numPr>
          <w:ilvl w:val="1"/>
          <w:numId w:val="31"/>
        </w:numPr>
        <w:rPr>
          <w:sz w:val="22"/>
          <w:szCs w:val="22"/>
        </w:rPr>
      </w:pPr>
      <w:r w:rsidRPr="004029DC">
        <w:rPr>
          <w:sz w:val="22"/>
          <w:szCs w:val="22"/>
        </w:rPr>
        <w:t>50% of people aged 65 and over have disability (ABS 2019b).</w:t>
      </w:r>
    </w:p>
    <w:p w14:paraId="1BD1FF7C" w14:textId="77777777" w:rsidR="00E237D7" w:rsidRDefault="00E237D7" w:rsidP="00E237D7">
      <w:pPr>
        <w:pStyle w:val="ListParagraph"/>
        <w:numPr>
          <w:ilvl w:val="0"/>
          <w:numId w:val="31"/>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62430A51" w14:textId="77777777" w:rsidR="00E237D7" w:rsidRDefault="00E237D7" w:rsidP="00E237D7">
      <w:pPr>
        <w:pStyle w:val="ListParagraph"/>
        <w:numPr>
          <w:ilvl w:val="0"/>
          <w:numId w:val="31"/>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40EFB033" w14:textId="77777777" w:rsidR="00E237D7" w:rsidRDefault="00E237D7" w:rsidP="00E237D7">
      <w:pPr>
        <w:pStyle w:val="ListParagraph"/>
        <w:numPr>
          <w:ilvl w:val="0"/>
          <w:numId w:val="31"/>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46476826" w14:textId="77777777" w:rsidR="00E237D7" w:rsidRDefault="00E237D7" w:rsidP="00E237D7">
      <w:pPr>
        <w:pStyle w:val="ListParagraph"/>
        <w:numPr>
          <w:ilvl w:val="0"/>
          <w:numId w:val="31"/>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3C73488E" w14:textId="77777777" w:rsidR="00E237D7" w:rsidRDefault="00E237D7" w:rsidP="00E237D7">
      <w:pPr>
        <w:pStyle w:val="ListParagraph"/>
        <w:numPr>
          <w:ilvl w:val="0"/>
          <w:numId w:val="31"/>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2DB345C1" w14:textId="77777777" w:rsidR="00E237D7" w:rsidRPr="006F4546" w:rsidRDefault="00E237D7" w:rsidP="00E237D7">
      <w:pPr>
        <w:spacing w:before="0" w:after="0"/>
        <w:rPr>
          <w:sz w:val="22"/>
          <w:szCs w:val="22"/>
        </w:rPr>
      </w:pPr>
    </w:p>
    <w:p w14:paraId="62A767D0" w14:textId="78E9836E" w:rsidR="00CF6FF6" w:rsidRDefault="00CF6FF6" w:rsidP="00CF6FF6">
      <w:pPr>
        <w:pStyle w:val="Heading2"/>
      </w:pPr>
      <w:r>
        <w:t>Additional Data</w:t>
      </w:r>
    </w:p>
    <w:p w14:paraId="5F0785EC" w14:textId="77777777" w:rsidR="006B6DA8" w:rsidRPr="00175B16" w:rsidRDefault="006B6DA8" w:rsidP="006B6DA8">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3EA98760" w14:textId="77777777" w:rsidR="006B6DA8" w:rsidRDefault="00624D5E" w:rsidP="006B6DA8">
      <w:pPr>
        <w:rPr>
          <w:rStyle w:val="Hyperlink"/>
          <w:sz w:val="22"/>
          <w:szCs w:val="22"/>
        </w:rPr>
      </w:pPr>
      <w:hyperlink r:id="rId23" w:history="1">
        <w:r w:rsidR="006B6DA8" w:rsidRPr="00175B16">
          <w:rPr>
            <w:rStyle w:val="Hyperlink"/>
            <w:sz w:val="22"/>
            <w:szCs w:val="22"/>
          </w:rPr>
          <w:t>https://www.facs.nsw.gov.au/resources/nsw-local-government-housing-kit/chapters/local-government-housing-kit-database</w:t>
        </w:r>
      </w:hyperlink>
    </w:p>
    <w:p w14:paraId="08BB4326" w14:textId="77777777" w:rsidR="006B6DA8" w:rsidRDefault="006B6DA8" w:rsidP="006B6DA8">
      <w:pPr>
        <w:rPr>
          <w:rStyle w:val="Hyperlink"/>
          <w:color w:val="auto"/>
          <w:sz w:val="22"/>
          <w:szCs w:val="22"/>
          <w:u w:val="none"/>
        </w:rPr>
      </w:pPr>
    </w:p>
    <w:p w14:paraId="130BB10B" w14:textId="77777777" w:rsidR="006B6DA8" w:rsidRDefault="006B6DA8" w:rsidP="006B6DA8">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4293BB3A" w14:textId="77777777" w:rsidR="006B6DA8" w:rsidRDefault="006B6DA8" w:rsidP="006B6DA8">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38827DCE" w14:textId="77777777" w:rsidR="006B6DA8" w:rsidRDefault="00624D5E" w:rsidP="006B6DA8">
      <w:pPr>
        <w:rPr>
          <w:rStyle w:val="Hyperlink"/>
          <w:sz w:val="22"/>
          <w:szCs w:val="22"/>
        </w:rPr>
      </w:pPr>
      <w:hyperlink r:id="rId24" w:history="1">
        <w:r w:rsidR="006B6DA8" w:rsidRPr="00E22625">
          <w:rPr>
            <w:rStyle w:val="Hyperlink"/>
            <w:sz w:val="22"/>
            <w:szCs w:val="22"/>
          </w:rPr>
          <w:t>https://www.aihw.gov.au/reports/older-people/older-australians/contents/housing-and-living-arrangements</w:t>
        </w:r>
      </w:hyperlink>
    </w:p>
    <w:p w14:paraId="01212A98" w14:textId="77777777" w:rsidR="006B6DA8" w:rsidRPr="004029DC" w:rsidRDefault="006B6DA8" w:rsidP="006B6DA8">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706BCC21" w14:textId="77777777" w:rsidR="006B6DA8" w:rsidRDefault="00624D5E" w:rsidP="006B6DA8">
      <w:pPr>
        <w:rPr>
          <w:sz w:val="22"/>
          <w:szCs w:val="22"/>
        </w:rPr>
      </w:pPr>
      <w:hyperlink r:id="rId25" w:history="1">
        <w:r w:rsidR="006B6DA8" w:rsidRPr="00755D0F">
          <w:rPr>
            <w:rStyle w:val="Hyperlink"/>
            <w:sz w:val="22"/>
            <w:szCs w:val="22"/>
          </w:rPr>
          <w:t>https://www.aihw.gov.au/reports/disability/people-with-disability-in-australia/contents/people-with-disability/prevalence-of-disability</w:t>
        </w:r>
      </w:hyperlink>
    </w:p>
    <w:p w14:paraId="7282EFB1" w14:textId="77777777" w:rsidR="006B6DA8" w:rsidRDefault="006B6DA8" w:rsidP="006B6DA8">
      <w:pPr>
        <w:rPr>
          <w:sz w:val="22"/>
          <w:szCs w:val="22"/>
        </w:rPr>
      </w:pPr>
      <w:r>
        <w:rPr>
          <w:sz w:val="22"/>
          <w:szCs w:val="22"/>
        </w:rPr>
        <w:t>and relating to housing needs</w:t>
      </w:r>
    </w:p>
    <w:p w14:paraId="24325FA6" w14:textId="77777777" w:rsidR="006B6DA8" w:rsidRDefault="00624D5E" w:rsidP="006B6DA8">
      <w:pPr>
        <w:rPr>
          <w:sz w:val="22"/>
          <w:szCs w:val="22"/>
        </w:rPr>
      </w:pPr>
      <w:hyperlink r:id="rId26" w:history="1">
        <w:r w:rsidR="006B6DA8" w:rsidRPr="00755D0F">
          <w:rPr>
            <w:rStyle w:val="Hyperlink"/>
            <w:sz w:val="22"/>
            <w:szCs w:val="22"/>
          </w:rPr>
          <w:t>https://www.aihw.gov.au/reports/disability/people-with-disability-in-australia/contents/housing</w:t>
        </w:r>
      </w:hyperlink>
    </w:p>
    <w:p w14:paraId="3B8C3102" w14:textId="77777777" w:rsidR="006B6DA8" w:rsidRPr="00175B16" w:rsidRDefault="006B6DA8" w:rsidP="006B6DA8">
      <w:pPr>
        <w:rPr>
          <w:sz w:val="22"/>
          <w:szCs w:val="22"/>
        </w:rPr>
      </w:pPr>
      <w:r>
        <w:rPr>
          <w:sz w:val="22"/>
          <w:szCs w:val="22"/>
        </w:rPr>
        <w:t>T</w:t>
      </w:r>
      <w:r w:rsidRPr="00175B16">
        <w:rPr>
          <w:sz w:val="22"/>
          <w:szCs w:val="22"/>
        </w:rPr>
        <w:t>he Productivity Commission’s report Housing Decisions of Older Australians is at:</w:t>
      </w:r>
    </w:p>
    <w:p w14:paraId="0C40DB11" w14:textId="77777777" w:rsidR="006B6DA8" w:rsidRPr="00175B16" w:rsidRDefault="00624D5E" w:rsidP="006B6DA8">
      <w:pPr>
        <w:rPr>
          <w:sz w:val="22"/>
          <w:szCs w:val="22"/>
        </w:rPr>
      </w:pPr>
      <w:hyperlink r:id="rId27" w:history="1">
        <w:r w:rsidR="006B6DA8" w:rsidRPr="00175B16">
          <w:rPr>
            <w:rStyle w:val="Hyperlink"/>
            <w:sz w:val="22"/>
            <w:szCs w:val="22"/>
          </w:rPr>
          <w:t>https://www.pc.gov.au/research/completed/housing-decisions-older-australians</w:t>
        </w:r>
      </w:hyperlink>
    </w:p>
    <w:p w14:paraId="2F20DDA3" w14:textId="77777777" w:rsidR="006B6DA8" w:rsidRPr="00175B16" w:rsidRDefault="006B6DA8" w:rsidP="006B6DA8">
      <w:pPr>
        <w:rPr>
          <w:sz w:val="22"/>
          <w:szCs w:val="22"/>
        </w:rPr>
      </w:pPr>
    </w:p>
    <w:p w14:paraId="1AE3947A" w14:textId="77777777" w:rsidR="006B6DA8" w:rsidRDefault="006B6DA8" w:rsidP="006B6DA8">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27C3D321" w14:textId="77777777" w:rsidR="006B6DA8" w:rsidRPr="007A567E" w:rsidRDefault="00624D5E" w:rsidP="006B6DA8">
      <w:pPr>
        <w:rPr>
          <w:rFonts w:cs="Arial"/>
          <w:color w:val="1F497D"/>
          <w:sz w:val="22"/>
          <w:szCs w:val="22"/>
          <w:lang w:eastAsia="en-US"/>
        </w:rPr>
      </w:pPr>
      <w:hyperlink r:id="rId28" w:history="1">
        <w:r w:rsidR="006B6DA8" w:rsidRPr="007A567E">
          <w:rPr>
            <w:rStyle w:val="Hyperlink"/>
            <w:rFonts w:cs="Arial"/>
            <w:sz w:val="22"/>
            <w:szCs w:val="22"/>
            <w:lang w:eastAsia="en-US"/>
          </w:rPr>
          <w:t>https://www.planning.nsw.gov.au/Research-and-Demography/Population-Projections/Projections</w:t>
        </w:r>
      </w:hyperlink>
    </w:p>
    <w:p w14:paraId="1E87656B" w14:textId="77777777" w:rsidR="006B6DA8" w:rsidRPr="007A567E" w:rsidRDefault="00624D5E" w:rsidP="006B6DA8">
      <w:pPr>
        <w:rPr>
          <w:rFonts w:cs="Arial"/>
          <w:color w:val="1F497D"/>
          <w:sz w:val="22"/>
          <w:szCs w:val="22"/>
          <w:lang w:eastAsia="en-US"/>
        </w:rPr>
      </w:pPr>
      <w:hyperlink r:id="rId29" w:history="1">
        <w:r w:rsidR="006B6DA8" w:rsidRPr="007A567E">
          <w:rPr>
            <w:rStyle w:val="Hyperlink"/>
            <w:rFonts w:cs="Arial"/>
            <w:sz w:val="22"/>
            <w:szCs w:val="22"/>
            <w:lang w:eastAsia="en-US"/>
          </w:rPr>
          <w:t>https://pp.planningportal.nsw.gov.au/populations</w:t>
        </w:r>
      </w:hyperlink>
    </w:p>
    <w:p w14:paraId="4B4A77D6" w14:textId="77777777" w:rsidR="006B6DA8" w:rsidRPr="00175B16" w:rsidRDefault="006B6DA8" w:rsidP="006B6DA8">
      <w:pPr>
        <w:rPr>
          <w:sz w:val="22"/>
          <w:szCs w:val="22"/>
        </w:rPr>
      </w:pPr>
    </w:p>
    <w:p w14:paraId="02E42EE7" w14:textId="77777777" w:rsidR="006B6DA8" w:rsidRDefault="006B6DA8" w:rsidP="006B6DA8">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06E80573" w14:textId="77777777" w:rsidR="006B6DA8" w:rsidRDefault="00624D5E" w:rsidP="006B6DA8">
      <w:pPr>
        <w:rPr>
          <w:sz w:val="22"/>
          <w:szCs w:val="22"/>
        </w:rPr>
      </w:pPr>
      <w:hyperlink r:id="rId30" w:history="1">
        <w:r w:rsidR="006B6DA8" w:rsidRPr="00374406">
          <w:rPr>
            <w:rStyle w:val="Hyperlink"/>
            <w:sz w:val="22"/>
            <w:szCs w:val="22"/>
          </w:rPr>
          <w:t>https://homelessnessnsw.org.au/resource/specialist-homelessness-service-data/</w:t>
        </w:r>
      </w:hyperlink>
    </w:p>
    <w:p w14:paraId="0E25C2BB" w14:textId="77777777" w:rsidR="006B6DA8" w:rsidRDefault="006B6DA8" w:rsidP="006B6DA8">
      <w:pPr>
        <w:rPr>
          <w:sz w:val="22"/>
          <w:szCs w:val="22"/>
        </w:rPr>
      </w:pPr>
      <w:r>
        <w:rPr>
          <w:sz w:val="22"/>
          <w:szCs w:val="22"/>
        </w:rPr>
        <w:t>And from the AIHW website here:</w:t>
      </w:r>
    </w:p>
    <w:p w14:paraId="59AC4202" w14:textId="77777777" w:rsidR="006B6DA8" w:rsidRDefault="00624D5E" w:rsidP="006B6DA8">
      <w:pPr>
        <w:rPr>
          <w:sz w:val="22"/>
          <w:szCs w:val="22"/>
        </w:rPr>
      </w:pPr>
      <w:hyperlink r:id="rId31" w:history="1">
        <w:r w:rsidR="006B6DA8" w:rsidRPr="00374406">
          <w:rPr>
            <w:rStyle w:val="Hyperlink"/>
            <w:sz w:val="22"/>
            <w:szCs w:val="22"/>
          </w:rPr>
          <w:t>https://www.aihw.gov.au/reports/australias-welfare/homelessness-and-homelessness-services</w:t>
        </w:r>
      </w:hyperlink>
    </w:p>
    <w:p w14:paraId="406D3FA0" w14:textId="77777777" w:rsidR="006B6DA8" w:rsidRDefault="006B6DA8" w:rsidP="006B6DA8">
      <w:pPr>
        <w:rPr>
          <w:sz w:val="22"/>
          <w:szCs w:val="22"/>
        </w:rPr>
      </w:pPr>
      <w:r>
        <w:rPr>
          <w:sz w:val="22"/>
          <w:szCs w:val="22"/>
        </w:rPr>
        <w:t>The 2023 Street Count result is at the DCJ/ FACS website here:</w:t>
      </w:r>
    </w:p>
    <w:p w14:paraId="3A2EA6B5" w14:textId="77777777" w:rsidR="006B6DA8" w:rsidRDefault="00624D5E" w:rsidP="006B6DA8">
      <w:pPr>
        <w:rPr>
          <w:sz w:val="22"/>
          <w:szCs w:val="22"/>
        </w:rPr>
      </w:pPr>
      <w:hyperlink r:id="rId32" w:history="1">
        <w:r w:rsidR="006B6DA8" w:rsidRPr="00374406">
          <w:rPr>
            <w:rStyle w:val="Hyperlink"/>
            <w:sz w:val="22"/>
            <w:szCs w:val="22"/>
          </w:rPr>
          <w:t>https://www.facs.nsw.gov.au/reforms/homelessness/premiers-priority-to-reduce-street-homelessness/street-count</w:t>
        </w:r>
      </w:hyperlink>
    </w:p>
    <w:p w14:paraId="2ABE2F78" w14:textId="77777777" w:rsidR="006B6DA8" w:rsidRDefault="006B6DA8" w:rsidP="006B6DA8">
      <w:pPr>
        <w:rPr>
          <w:sz w:val="22"/>
          <w:szCs w:val="22"/>
        </w:rPr>
      </w:pPr>
      <w:r>
        <w:rPr>
          <w:sz w:val="22"/>
          <w:szCs w:val="22"/>
        </w:rPr>
        <w:t>Further information on ABS estimation of homelessness is available at the ABS website:</w:t>
      </w:r>
    </w:p>
    <w:p w14:paraId="5D2FCD88" w14:textId="77777777" w:rsidR="006B6DA8" w:rsidRDefault="00624D5E" w:rsidP="006B6DA8">
      <w:pPr>
        <w:rPr>
          <w:sz w:val="22"/>
          <w:szCs w:val="22"/>
        </w:rPr>
      </w:pPr>
      <w:hyperlink r:id="rId33" w:history="1">
        <w:r w:rsidR="006B6DA8" w:rsidRPr="009911ED">
          <w:rPr>
            <w:rStyle w:val="Hyperlink"/>
            <w:sz w:val="22"/>
            <w:szCs w:val="22"/>
          </w:rPr>
          <w:t>https://www.abs.gov.au/statistics/people/housing/estimating-homelessness-census/2021</w:t>
        </w:r>
      </w:hyperlink>
    </w:p>
    <w:p w14:paraId="0DECCA6D" w14:textId="77777777" w:rsidR="006B6DA8" w:rsidRPr="00981C12" w:rsidRDefault="006B6DA8" w:rsidP="006B6DA8">
      <w:pPr>
        <w:rPr>
          <w:sz w:val="22"/>
          <w:szCs w:val="22"/>
        </w:rPr>
      </w:pPr>
    </w:p>
    <w:p w14:paraId="31640108" w14:textId="77777777" w:rsidR="006B6DA8" w:rsidRPr="006B6DA8" w:rsidRDefault="006B6DA8" w:rsidP="006B6DA8">
      <w:pPr>
        <w:rPr>
          <w:sz w:val="22"/>
          <w:szCs w:val="22"/>
        </w:rPr>
      </w:pPr>
    </w:p>
    <w:sectPr w:rsidR="006B6DA8" w:rsidRPr="006B6DA8" w:rsidSect="00E81EA2">
      <w:headerReference w:type="default" r:id="rId34"/>
      <w:footerReference w:type="default" r:id="rId3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1F3C" w14:textId="77777777" w:rsidR="00564A6D" w:rsidRDefault="00564A6D">
      <w:r>
        <w:separator/>
      </w:r>
    </w:p>
  </w:endnote>
  <w:endnote w:type="continuationSeparator" w:id="0">
    <w:p w14:paraId="47F81358"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775207"/>
      <w:docPartObj>
        <w:docPartGallery w:val="Page Numbers (Bottom of Page)"/>
        <w:docPartUnique/>
      </w:docPartObj>
    </w:sdtPr>
    <w:sdtEndPr>
      <w:rPr>
        <w:noProof/>
      </w:rPr>
    </w:sdtEndPr>
    <w:sdtContent>
      <w:p w14:paraId="496B1725" w14:textId="77777777" w:rsidR="00966BB1" w:rsidRDefault="00966BB1">
        <w:pPr>
          <w:pStyle w:val="Footer"/>
          <w:jc w:val="right"/>
        </w:pPr>
        <w:r>
          <w:fldChar w:fldCharType="begin"/>
        </w:r>
        <w:r>
          <w:instrText xml:space="preserve"> PAGE   \* MERGEFORMAT </w:instrText>
        </w:r>
        <w:r>
          <w:fldChar w:fldCharType="separate"/>
        </w:r>
        <w:r w:rsidR="000764AC">
          <w:rPr>
            <w:noProof/>
          </w:rPr>
          <w:t>14</w:t>
        </w:r>
        <w:r>
          <w:rPr>
            <w:noProof/>
          </w:rPr>
          <w:fldChar w:fldCharType="end"/>
        </w:r>
      </w:p>
    </w:sdtContent>
  </w:sdt>
  <w:p w14:paraId="2C63BEEF"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568B" w14:textId="77777777" w:rsidR="00564A6D" w:rsidRDefault="00564A6D">
      <w:r>
        <w:separator/>
      </w:r>
    </w:p>
  </w:footnote>
  <w:footnote w:type="continuationSeparator" w:id="0">
    <w:p w14:paraId="1EE5244D"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04CE" w14:textId="77777777" w:rsidR="00E76895" w:rsidRDefault="00FB6E8F" w:rsidP="00E76895">
    <w:pPr>
      <w:pStyle w:val="Factsheet"/>
      <w:ind w:left="7200"/>
      <w:jc w:val="left"/>
    </w:pPr>
    <w:r>
      <w:rPr>
        <w:noProof/>
      </w:rPr>
      <w:drawing>
        <wp:anchor distT="0" distB="0" distL="114300" distR="114300" simplePos="0" relativeHeight="251657728" behindDoc="1" locked="0" layoutInCell="1" allowOverlap="1" wp14:anchorId="4252995B" wp14:editId="75D21CFC">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FF1">
      <w:br/>
    </w:r>
  </w:p>
  <w:p w14:paraId="770C10A6" w14:textId="77777777" w:rsidR="00D60132" w:rsidRPr="001F5B89" w:rsidRDefault="00EC070F" w:rsidP="001909CA">
    <w:pPr>
      <w:pStyle w:val="Issuedate"/>
    </w:pPr>
    <w:r>
      <w:br/>
    </w:r>
  </w:p>
  <w:p w14:paraId="24E7AAE4" w14:textId="77777777" w:rsidR="00D60132" w:rsidRPr="001909CA" w:rsidRDefault="00D60132"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CF8"/>
    <w:multiLevelType w:val="hybridMultilevel"/>
    <w:tmpl w:val="E3A827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77FC4"/>
    <w:multiLevelType w:val="hybridMultilevel"/>
    <w:tmpl w:val="C9F8C2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67C5"/>
    <w:multiLevelType w:val="hybridMultilevel"/>
    <w:tmpl w:val="1A78EF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180A35"/>
    <w:multiLevelType w:val="hybridMultilevel"/>
    <w:tmpl w:val="289A298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F3F34"/>
    <w:multiLevelType w:val="hybridMultilevel"/>
    <w:tmpl w:val="F95012D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572847"/>
    <w:multiLevelType w:val="hybridMultilevel"/>
    <w:tmpl w:val="E364EF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6B15C0"/>
    <w:multiLevelType w:val="multilevel"/>
    <w:tmpl w:val="7F48644A"/>
    <w:numStyleLink w:val="Bulletpoint"/>
  </w:abstractNum>
  <w:abstractNum w:abstractNumId="9" w15:restartNumberingAfterBreak="0">
    <w:nsid w:val="2F005357"/>
    <w:multiLevelType w:val="hybridMultilevel"/>
    <w:tmpl w:val="08BA44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4943B4"/>
    <w:multiLevelType w:val="hybridMultilevel"/>
    <w:tmpl w:val="4202979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3A582F"/>
    <w:multiLevelType w:val="hybridMultilevel"/>
    <w:tmpl w:val="A45261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AB54BA"/>
    <w:multiLevelType w:val="hybridMultilevel"/>
    <w:tmpl w:val="F776051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6246DB"/>
    <w:multiLevelType w:val="hybridMultilevel"/>
    <w:tmpl w:val="05D63C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904D32"/>
    <w:multiLevelType w:val="hybridMultilevel"/>
    <w:tmpl w:val="4CC69E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0E5157"/>
    <w:multiLevelType w:val="hybridMultilevel"/>
    <w:tmpl w:val="1AFEC7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1F66BD"/>
    <w:multiLevelType w:val="hybridMultilevel"/>
    <w:tmpl w:val="7B1092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91270E"/>
    <w:multiLevelType w:val="multilevel"/>
    <w:tmpl w:val="7F48644A"/>
    <w:numStyleLink w:val="Bulletpoint"/>
  </w:abstractNum>
  <w:abstractNum w:abstractNumId="20" w15:restartNumberingAfterBreak="0">
    <w:nsid w:val="52583C42"/>
    <w:multiLevelType w:val="hybridMultilevel"/>
    <w:tmpl w:val="A93CDE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114829"/>
    <w:multiLevelType w:val="multilevel"/>
    <w:tmpl w:val="7F48644A"/>
    <w:numStyleLink w:val="Bulletpoint"/>
  </w:abstractNum>
  <w:abstractNum w:abstractNumId="22"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76CD3"/>
    <w:multiLevelType w:val="hybridMultilevel"/>
    <w:tmpl w:val="6CD4972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D87F82"/>
    <w:multiLevelType w:val="hybridMultilevel"/>
    <w:tmpl w:val="CCA441C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443540"/>
    <w:multiLevelType w:val="hybridMultilevel"/>
    <w:tmpl w:val="38BCCD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027587"/>
    <w:multiLevelType w:val="hybridMultilevel"/>
    <w:tmpl w:val="6C30F0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804DD9"/>
    <w:multiLevelType w:val="hybridMultilevel"/>
    <w:tmpl w:val="18A033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59590077">
    <w:abstractNumId w:val="2"/>
  </w:num>
  <w:num w:numId="2" w16cid:durableId="1601260765">
    <w:abstractNumId w:val="23"/>
  </w:num>
  <w:num w:numId="3" w16cid:durableId="307899370">
    <w:abstractNumId w:val="21"/>
  </w:num>
  <w:num w:numId="4" w16cid:durableId="1033380119">
    <w:abstractNumId w:val="19"/>
  </w:num>
  <w:num w:numId="5" w16cid:durableId="293560167">
    <w:abstractNumId w:val="8"/>
  </w:num>
  <w:num w:numId="6" w16cid:durableId="451561651">
    <w:abstractNumId w:val="27"/>
  </w:num>
  <w:num w:numId="7" w16cid:durableId="90516037">
    <w:abstractNumId w:val="5"/>
  </w:num>
  <w:num w:numId="8" w16cid:durableId="2034526829">
    <w:abstractNumId w:val="29"/>
  </w:num>
  <w:num w:numId="9" w16cid:durableId="943345590">
    <w:abstractNumId w:val="28"/>
  </w:num>
  <w:num w:numId="10" w16cid:durableId="603808208">
    <w:abstractNumId w:val="22"/>
  </w:num>
  <w:num w:numId="11" w16cid:durableId="1979452156">
    <w:abstractNumId w:val="14"/>
  </w:num>
  <w:num w:numId="12" w16cid:durableId="1378043296">
    <w:abstractNumId w:val="17"/>
  </w:num>
  <w:num w:numId="13" w16cid:durableId="977538652">
    <w:abstractNumId w:val="15"/>
  </w:num>
  <w:num w:numId="14" w16cid:durableId="72550089">
    <w:abstractNumId w:val="30"/>
  </w:num>
  <w:num w:numId="15" w16cid:durableId="485828064">
    <w:abstractNumId w:val="10"/>
  </w:num>
  <w:num w:numId="16" w16cid:durableId="223375005">
    <w:abstractNumId w:val="26"/>
  </w:num>
  <w:num w:numId="17" w16cid:durableId="1212306858">
    <w:abstractNumId w:val="6"/>
  </w:num>
  <w:num w:numId="18" w16cid:durableId="1085229770">
    <w:abstractNumId w:val="31"/>
  </w:num>
  <w:num w:numId="19" w16cid:durableId="1983806159">
    <w:abstractNumId w:val="0"/>
  </w:num>
  <w:num w:numId="20" w16cid:durableId="1081298644">
    <w:abstractNumId w:val="4"/>
  </w:num>
  <w:num w:numId="21" w16cid:durableId="1015615384">
    <w:abstractNumId w:val="3"/>
  </w:num>
  <w:num w:numId="22" w16cid:durableId="867525385">
    <w:abstractNumId w:val="12"/>
  </w:num>
  <w:num w:numId="23" w16cid:durableId="1884756963">
    <w:abstractNumId w:val="24"/>
  </w:num>
  <w:num w:numId="24" w16cid:durableId="1271859482">
    <w:abstractNumId w:val="7"/>
  </w:num>
  <w:num w:numId="25" w16cid:durableId="172494358">
    <w:abstractNumId w:val="9"/>
  </w:num>
  <w:num w:numId="26" w16cid:durableId="397828629">
    <w:abstractNumId w:val="13"/>
  </w:num>
  <w:num w:numId="27" w16cid:durableId="1427072927">
    <w:abstractNumId w:val="25"/>
  </w:num>
  <w:num w:numId="28" w16cid:durableId="872109292">
    <w:abstractNumId w:val="18"/>
  </w:num>
  <w:num w:numId="29" w16cid:durableId="594172802">
    <w:abstractNumId w:val="20"/>
  </w:num>
  <w:num w:numId="30" w16cid:durableId="489367214">
    <w:abstractNumId w:val="1"/>
  </w:num>
  <w:num w:numId="31" w16cid:durableId="363484088">
    <w:abstractNumId w:val="11"/>
  </w:num>
  <w:num w:numId="32" w16cid:durableId="1521968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436C"/>
    <w:rsid w:val="0000537C"/>
    <w:rsid w:val="000073E7"/>
    <w:rsid w:val="000128F8"/>
    <w:rsid w:val="00014ACB"/>
    <w:rsid w:val="00014DFA"/>
    <w:rsid w:val="0001509B"/>
    <w:rsid w:val="0002002B"/>
    <w:rsid w:val="0002385F"/>
    <w:rsid w:val="000238BE"/>
    <w:rsid w:val="00025B62"/>
    <w:rsid w:val="0002652D"/>
    <w:rsid w:val="000301A0"/>
    <w:rsid w:val="00030840"/>
    <w:rsid w:val="00032646"/>
    <w:rsid w:val="000329C1"/>
    <w:rsid w:val="000331DB"/>
    <w:rsid w:val="0003643E"/>
    <w:rsid w:val="000411E5"/>
    <w:rsid w:val="00042E77"/>
    <w:rsid w:val="0004492A"/>
    <w:rsid w:val="00045AF7"/>
    <w:rsid w:val="00047744"/>
    <w:rsid w:val="00050277"/>
    <w:rsid w:val="000545D9"/>
    <w:rsid w:val="00054D7D"/>
    <w:rsid w:val="00055E88"/>
    <w:rsid w:val="000610BC"/>
    <w:rsid w:val="00062436"/>
    <w:rsid w:val="00064BA4"/>
    <w:rsid w:val="00067E94"/>
    <w:rsid w:val="0007114C"/>
    <w:rsid w:val="00071F45"/>
    <w:rsid w:val="0007285B"/>
    <w:rsid w:val="0007502D"/>
    <w:rsid w:val="0007553F"/>
    <w:rsid w:val="000764AC"/>
    <w:rsid w:val="0007698C"/>
    <w:rsid w:val="0007784F"/>
    <w:rsid w:val="000808D2"/>
    <w:rsid w:val="000825C2"/>
    <w:rsid w:val="0008467A"/>
    <w:rsid w:val="00086B8E"/>
    <w:rsid w:val="0009171E"/>
    <w:rsid w:val="0009596E"/>
    <w:rsid w:val="00095D8D"/>
    <w:rsid w:val="00096208"/>
    <w:rsid w:val="00096EE0"/>
    <w:rsid w:val="000A0F1E"/>
    <w:rsid w:val="000A5290"/>
    <w:rsid w:val="000A5608"/>
    <w:rsid w:val="000A6642"/>
    <w:rsid w:val="000A69F4"/>
    <w:rsid w:val="000A7162"/>
    <w:rsid w:val="000B2634"/>
    <w:rsid w:val="000B2A74"/>
    <w:rsid w:val="000B3FA4"/>
    <w:rsid w:val="000B56D8"/>
    <w:rsid w:val="000B61E9"/>
    <w:rsid w:val="000B75EB"/>
    <w:rsid w:val="000C0268"/>
    <w:rsid w:val="000C662F"/>
    <w:rsid w:val="000C6B1E"/>
    <w:rsid w:val="000D0B7A"/>
    <w:rsid w:val="000D2599"/>
    <w:rsid w:val="000D7FA3"/>
    <w:rsid w:val="000E078B"/>
    <w:rsid w:val="000E182F"/>
    <w:rsid w:val="000E1CAB"/>
    <w:rsid w:val="000E1E21"/>
    <w:rsid w:val="000E7008"/>
    <w:rsid w:val="000F053E"/>
    <w:rsid w:val="000F249F"/>
    <w:rsid w:val="000F3370"/>
    <w:rsid w:val="000F5B81"/>
    <w:rsid w:val="000F6CE6"/>
    <w:rsid w:val="00101958"/>
    <w:rsid w:val="00104FC4"/>
    <w:rsid w:val="00113B05"/>
    <w:rsid w:val="00113F63"/>
    <w:rsid w:val="00117158"/>
    <w:rsid w:val="001174B1"/>
    <w:rsid w:val="00122CAE"/>
    <w:rsid w:val="0012441C"/>
    <w:rsid w:val="0013027E"/>
    <w:rsid w:val="0013092A"/>
    <w:rsid w:val="00131EA4"/>
    <w:rsid w:val="00132F07"/>
    <w:rsid w:val="001344D3"/>
    <w:rsid w:val="001344DC"/>
    <w:rsid w:val="00135905"/>
    <w:rsid w:val="00137892"/>
    <w:rsid w:val="00137F70"/>
    <w:rsid w:val="00140885"/>
    <w:rsid w:val="00142B1F"/>
    <w:rsid w:val="00142DBC"/>
    <w:rsid w:val="001441BA"/>
    <w:rsid w:val="00146DD9"/>
    <w:rsid w:val="001501E7"/>
    <w:rsid w:val="0015131A"/>
    <w:rsid w:val="00151375"/>
    <w:rsid w:val="001513E0"/>
    <w:rsid w:val="001517A4"/>
    <w:rsid w:val="00152CFA"/>
    <w:rsid w:val="00156081"/>
    <w:rsid w:val="001612C8"/>
    <w:rsid w:val="00162916"/>
    <w:rsid w:val="00163B75"/>
    <w:rsid w:val="00165BCC"/>
    <w:rsid w:val="0016630F"/>
    <w:rsid w:val="001663F4"/>
    <w:rsid w:val="001669DC"/>
    <w:rsid w:val="0017182A"/>
    <w:rsid w:val="00171939"/>
    <w:rsid w:val="00171F63"/>
    <w:rsid w:val="001742EA"/>
    <w:rsid w:val="00175CFF"/>
    <w:rsid w:val="0017634D"/>
    <w:rsid w:val="00182CDB"/>
    <w:rsid w:val="00184737"/>
    <w:rsid w:val="001909CA"/>
    <w:rsid w:val="00195D6E"/>
    <w:rsid w:val="00197B58"/>
    <w:rsid w:val="001A0A02"/>
    <w:rsid w:val="001B00B6"/>
    <w:rsid w:val="001B17A1"/>
    <w:rsid w:val="001B23A3"/>
    <w:rsid w:val="001B27D6"/>
    <w:rsid w:val="001B2A55"/>
    <w:rsid w:val="001B3A46"/>
    <w:rsid w:val="001B4A6B"/>
    <w:rsid w:val="001B4D62"/>
    <w:rsid w:val="001B79B1"/>
    <w:rsid w:val="001C15E4"/>
    <w:rsid w:val="001C37D4"/>
    <w:rsid w:val="001C6396"/>
    <w:rsid w:val="001C71A1"/>
    <w:rsid w:val="001D144E"/>
    <w:rsid w:val="001D3CC0"/>
    <w:rsid w:val="001D77A4"/>
    <w:rsid w:val="001E12EE"/>
    <w:rsid w:val="001E556C"/>
    <w:rsid w:val="001E783A"/>
    <w:rsid w:val="001F2B5D"/>
    <w:rsid w:val="001F3B60"/>
    <w:rsid w:val="001F46C1"/>
    <w:rsid w:val="001F5B89"/>
    <w:rsid w:val="001F5E9F"/>
    <w:rsid w:val="001F79B0"/>
    <w:rsid w:val="002010FF"/>
    <w:rsid w:val="00201EC7"/>
    <w:rsid w:val="00203AFA"/>
    <w:rsid w:val="00203F4C"/>
    <w:rsid w:val="002046D0"/>
    <w:rsid w:val="00206468"/>
    <w:rsid w:val="0021405C"/>
    <w:rsid w:val="002140CA"/>
    <w:rsid w:val="00215557"/>
    <w:rsid w:val="00217B75"/>
    <w:rsid w:val="00220972"/>
    <w:rsid w:val="00223136"/>
    <w:rsid w:val="00225F18"/>
    <w:rsid w:val="0022604D"/>
    <w:rsid w:val="00226F44"/>
    <w:rsid w:val="002307C5"/>
    <w:rsid w:val="0023354E"/>
    <w:rsid w:val="00235151"/>
    <w:rsid w:val="00237B30"/>
    <w:rsid w:val="002407D0"/>
    <w:rsid w:val="002422C8"/>
    <w:rsid w:val="00245811"/>
    <w:rsid w:val="00247A72"/>
    <w:rsid w:val="002552D9"/>
    <w:rsid w:val="0026232D"/>
    <w:rsid w:val="00262CF8"/>
    <w:rsid w:val="0026359F"/>
    <w:rsid w:val="00263903"/>
    <w:rsid w:val="00266AEE"/>
    <w:rsid w:val="00266ECB"/>
    <w:rsid w:val="00270797"/>
    <w:rsid w:val="002718EB"/>
    <w:rsid w:val="00273BD2"/>
    <w:rsid w:val="002759E0"/>
    <w:rsid w:val="002805F3"/>
    <w:rsid w:val="0028070A"/>
    <w:rsid w:val="002815A3"/>
    <w:rsid w:val="0028254B"/>
    <w:rsid w:val="00283423"/>
    <w:rsid w:val="0028595F"/>
    <w:rsid w:val="00285DA3"/>
    <w:rsid w:val="00285F8B"/>
    <w:rsid w:val="00292FEE"/>
    <w:rsid w:val="00294596"/>
    <w:rsid w:val="002A1EEA"/>
    <w:rsid w:val="002A2478"/>
    <w:rsid w:val="002A3643"/>
    <w:rsid w:val="002A3CA0"/>
    <w:rsid w:val="002A63B7"/>
    <w:rsid w:val="002A7FC0"/>
    <w:rsid w:val="002B0833"/>
    <w:rsid w:val="002B2FBC"/>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4809"/>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2711"/>
    <w:rsid w:val="00315796"/>
    <w:rsid w:val="003173AB"/>
    <w:rsid w:val="00320D58"/>
    <w:rsid w:val="003306A3"/>
    <w:rsid w:val="00330901"/>
    <w:rsid w:val="003320C4"/>
    <w:rsid w:val="00333D00"/>
    <w:rsid w:val="00334EDE"/>
    <w:rsid w:val="0033547A"/>
    <w:rsid w:val="0034140D"/>
    <w:rsid w:val="00343FC0"/>
    <w:rsid w:val="003451FB"/>
    <w:rsid w:val="003511BA"/>
    <w:rsid w:val="003514DE"/>
    <w:rsid w:val="003519E4"/>
    <w:rsid w:val="00351E80"/>
    <w:rsid w:val="0035247A"/>
    <w:rsid w:val="00352D3F"/>
    <w:rsid w:val="0035431E"/>
    <w:rsid w:val="003560A6"/>
    <w:rsid w:val="00360C09"/>
    <w:rsid w:val="00360EA0"/>
    <w:rsid w:val="003612DA"/>
    <w:rsid w:val="0037022E"/>
    <w:rsid w:val="00371240"/>
    <w:rsid w:val="00373822"/>
    <w:rsid w:val="00374198"/>
    <w:rsid w:val="003807CA"/>
    <w:rsid w:val="00382DD2"/>
    <w:rsid w:val="00383F13"/>
    <w:rsid w:val="003864CF"/>
    <w:rsid w:val="003869F8"/>
    <w:rsid w:val="00393363"/>
    <w:rsid w:val="00394F0A"/>
    <w:rsid w:val="003A0D8E"/>
    <w:rsid w:val="003A2183"/>
    <w:rsid w:val="003A234A"/>
    <w:rsid w:val="003A2DAE"/>
    <w:rsid w:val="003A5057"/>
    <w:rsid w:val="003A5B11"/>
    <w:rsid w:val="003A5EC6"/>
    <w:rsid w:val="003A60EC"/>
    <w:rsid w:val="003A66E0"/>
    <w:rsid w:val="003A74D7"/>
    <w:rsid w:val="003B109B"/>
    <w:rsid w:val="003B1954"/>
    <w:rsid w:val="003B2029"/>
    <w:rsid w:val="003B312B"/>
    <w:rsid w:val="003B4FA9"/>
    <w:rsid w:val="003B5958"/>
    <w:rsid w:val="003B76E6"/>
    <w:rsid w:val="003B7C6B"/>
    <w:rsid w:val="003C497F"/>
    <w:rsid w:val="003D3F7D"/>
    <w:rsid w:val="003D6256"/>
    <w:rsid w:val="003D74B2"/>
    <w:rsid w:val="003E027E"/>
    <w:rsid w:val="003E040E"/>
    <w:rsid w:val="003E2B10"/>
    <w:rsid w:val="003E3494"/>
    <w:rsid w:val="003F0F71"/>
    <w:rsid w:val="003F12EE"/>
    <w:rsid w:val="003F1D65"/>
    <w:rsid w:val="003F4AE1"/>
    <w:rsid w:val="003F5D47"/>
    <w:rsid w:val="003F7832"/>
    <w:rsid w:val="00403E95"/>
    <w:rsid w:val="00403ECB"/>
    <w:rsid w:val="00404713"/>
    <w:rsid w:val="004051E5"/>
    <w:rsid w:val="00413496"/>
    <w:rsid w:val="00414BFB"/>
    <w:rsid w:val="004157A1"/>
    <w:rsid w:val="0041637F"/>
    <w:rsid w:val="00417530"/>
    <w:rsid w:val="004209CB"/>
    <w:rsid w:val="00422F58"/>
    <w:rsid w:val="004250D1"/>
    <w:rsid w:val="00426C75"/>
    <w:rsid w:val="00426CCF"/>
    <w:rsid w:val="0042762C"/>
    <w:rsid w:val="0043154E"/>
    <w:rsid w:val="00431C7D"/>
    <w:rsid w:val="00433911"/>
    <w:rsid w:val="00433F77"/>
    <w:rsid w:val="00435FBE"/>
    <w:rsid w:val="0043730B"/>
    <w:rsid w:val="00437E31"/>
    <w:rsid w:val="00443223"/>
    <w:rsid w:val="004439D0"/>
    <w:rsid w:val="004450E5"/>
    <w:rsid w:val="0044771E"/>
    <w:rsid w:val="00456D1B"/>
    <w:rsid w:val="004578D4"/>
    <w:rsid w:val="00460EA1"/>
    <w:rsid w:val="00462C0D"/>
    <w:rsid w:val="00463348"/>
    <w:rsid w:val="00463693"/>
    <w:rsid w:val="00465278"/>
    <w:rsid w:val="00465B77"/>
    <w:rsid w:val="00465CA9"/>
    <w:rsid w:val="00470123"/>
    <w:rsid w:val="00471904"/>
    <w:rsid w:val="00471FED"/>
    <w:rsid w:val="00472613"/>
    <w:rsid w:val="00474D1F"/>
    <w:rsid w:val="00477082"/>
    <w:rsid w:val="0047716D"/>
    <w:rsid w:val="00482A4A"/>
    <w:rsid w:val="00483381"/>
    <w:rsid w:val="00483E4D"/>
    <w:rsid w:val="004845A8"/>
    <w:rsid w:val="00484FED"/>
    <w:rsid w:val="00486ADF"/>
    <w:rsid w:val="00487C45"/>
    <w:rsid w:val="004909FF"/>
    <w:rsid w:val="00491735"/>
    <w:rsid w:val="00492B05"/>
    <w:rsid w:val="00492E76"/>
    <w:rsid w:val="004955BF"/>
    <w:rsid w:val="00497695"/>
    <w:rsid w:val="00497A81"/>
    <w:rsid w:val="004A0DA5"/>
    <w:rsid w:val="004A3768"/>
    <w:rsid w:val="004A39D0"/>
    <w:rsid w:val="004B4725"/>
    <w:rsid w:val="004B47D6"/>
    <w:rsid w:val="004B73E4"/>
    <w:rsid w:val="004C2FA2"/>
    <w:rsid w:val="004C4253"/>
    <w:rsid w:val="004C46B8"/>
    <w:rsid w:val="004C4868"/>
    <w:rsid w:val="004C712B"/>
    <w:rsid w:val="004C7CEB"/>
    <w:rsid w:val="004D006D"/>
    <w:rsid w:val="004D3681"/>
    <w:rsid w:val="004D4FE8"/>
    <w:rsid w:val="004D5B8A"/>
    <w:rsid w:val="004D5D40"/>
    <w:rsid w:val="004D7EA7"/>
    <w:rsid w:val="004E63F8"/>
    <w:rsid w:val="004F5225"/>
    <w:rsid w:val="004F68F4"/>
    <w:rsid w:val="00500814"/>
    <w:rsid w:val="00501A40"/>
    <w:rsid w:val="0050731C"/>
    <w:rsid w:val="00512431"/>
    <w:rsid w:val="005138C1"/>
    <w:rsid w:val="00513B31"/>
    <w:rsid w:val="00514203"/>
    <w:rsid w:val="00515388"/>
    <w:rsid w:val="005176D3"/>
    <w:rsid w:val="00517D85"/>
    <w:rsid w:val="00523F90"/>
    <w:rsid w:val="00532867"/>
    <w:rsid w:val="005362AF"/>
    <w:rsid w:val="005364C8"/>
    <w:rsid w:val="005373BC"/>
    <w:rsid w:val="00537C3A"/>
    <w:rsid w:val="00540306"/>
    <w:rsid w:val="00540BEA"/>
    <w:rsid w:val="00542D54"/>
    <w:rsid w:val="005501FF"/>
    <w:rsid w:val="00552DEE"/>
    <w:rsid w:val="00557D72"/>
    <w:rsid w:val="0056136E"/>
    <w:rsid w:val="00564A6D"/>
    <w:rsid w:val="00566044"/>
    <w:rsid w:val="005674AF"/>
    <w:rsid w:val="00567A30"/>
    <w:rsid w:val="00572CB5"/>
    <w:rsid w:val="005736B4"/>
    <w:rsid w:val="0057662F"/>
    <w:rsid w:val="00577525"/>
    <w:rsid w:val="0058035E"/>
    <w:rsid w:val="00581AED"/>
    <w:rsid w:val="00581C6C"/>
    <w:rsid w:val="005835E7"/>
    <w:rsid w:val="00584469"/>
    <w:rsid w:val="0058515E"/>
    <w:rsid w:val="005852F8"/>
    <w:rsid w:val="005859FB"/>
    <w:rsid w:val="00585E90"/>
    <w:rsid w:val="00587B7D"/>
    <w:rsid w:val="00587FC3"/>
    <w:rsid w:val="0059092A"/>
    <w:rsid w:val="005927CC"/>
    <w:rsid w:val="005A04BC"/>
    <w:rsid w:val="005A1164"/>
    <w:rsid w:val="005A14CC"/>
    <w:rsid w:val="005A2F57"/>
    <w:rsid w:val="005A576C"/>
    <w:rsid w:val="005A5F47"/>
    <w:rsid w:val="005A74E6"/>
    <w:rsid w:val="005B05EB"/>
    <w:rsid w:val="005B3E6F"/>
    <w:rsid w:val="005B5731"/>
    <w:rsid w:val="005B72A1"/>
    <w:rsid w:val="005C03C7"/>
    <w:rsid w:val="005C0C76"/>
    <w:rsid w:val="005C1A32"/>
    <w:rsid w:val="005C3829"/>
    <w:rsid w:val="005D2418"/>
    <w:rsid w:val="005D3C1E"/>
    <w:rsid w:val="005D5243"/>
    <w:rsid w:val="005E0EC4"/>
    <w:rsid w:val="005E304F"/>
    <w:rsid w:val="005E4202"/>
    <w:rsid w:val="005E5D5C"/>
    <w:rsid w:val="005F265C"/>
    <w:rsid w:val="005F47CF"/>
    <w:rsid w:val="005F68CF"/>
    <w:rsid w:val="005F7C64"/>
    <w:rsid w:val="00602501"/>
    <w:rsid w:val="00602E79"/>
    <w:rsid w:val="006047A5"/>
    <w:rsid w:val="00605C36"/>
    <w:rsid w:val="00606514"/>
    <w:rsid w:val="00606598"/>
    <w:rsid w:val="00606934"/>
    <w:rsid w:val="00616FBF"/>
    <w:rsid w:val="0062186B"/>
    <w:rsid w:val="0062259C"/>
    <w:rsid w:val="00624D5E"/>
    <w:rsid w:val="00624F0D"/>
    <w:rsid w:val="00625C93"/>
    <w:rsid w:val="00626515"/>
    <w:rsid w:val="006268D0"/>
    <w:rsid w:val="0063059C"/>
    <w:rsid w:val="00635154"/>
    <w:rsid w:val="006407A6"/>
    <w:rsid w:val="00641B08"/>
    <w:rsid w:val="006454C0"/>
    <w:rsid w:val="006560D6"/>
    <w:rsid w:val="00656D1A"/>
    <w:rsid w:val="00657E24"/>
    <w:rsid w:val="006604A0"/>
    <w:rsid w:val="00662ABD"/>
    <w:rsid w:val="006632AB"/>
    <w:rsid w:val="0066560E"/>
    <w:rsid w:val="00667F27"/>
    <w:rsid w:val="00673F44"/>
    <w:rsid w:val="0067451E"/>
    <w:rsid w:val="00675CB8"/>
    <w:rsid w:val="00676748"/>
    <w:rsid w:val="00681CB1"/>
    <w:rsid w:val="0068374C"/>
    <w:rsid w:val="00684100"/>
    <w:rsid w:val="00692E51"/>
    <w:rsid w:val="00693256"/>
    <w:rsid w:val="0069529F"/>
    <w:rsid w:val="006971DF"/>
    <w:rsid w:val="006A0046"/>
    <w:rsid w:val="006A3F87"/>
    <w:rsid w:val="006A5D5F"/>
    <w:rsid w:val="006A6B50"/>
    <w:rsid w:val="006A6DB1"/>
    <w:rsid w:val="006B04CD"/>
    <w:rsid w:val="006B33CD"/>
    <w:rsid w:val="006B4028"/>
    <w:rsid w:val="006B480C"/>
    <w:rsid w:val="006B493D"/>
    <w:rsid w:val="006B5340"/>
    <w:rsid w:val="006B5948"/>
    <w:rsid w:val="006B5984"/>
    <w:rsid w:val="006B6DA8"/>
    <w:rsid w:val="006C0C3B"/>
    <w:rsid w:val="006C33E8"/>
    <w:rsid w:val="006C4501"/>
    <w:rsid w:val="006C47B1"/>
    <w:rsid w:val="006D1D6D"/>
    <w:rsid w:val="006D1E36"/>
    <w:rsid w:val="006D2E28"/>
    <w:rsid w:val="006D6D40"/>
    <w:rsid w:val="006E29E5"/>
    <w:rsid w:val="006E3BEB"/>
    <w:rsid w:val="006E79A0"/>
    <w:rsid w:val="006E7F87"/>
    <w:rsid w:val="006F0E4E"/>
    <w:rsid w:val="006F1DD2"/>
    <w:rsid w:val="006F3E7B"/>
    <w:rsid w:val="006F4102"/>
    <w:rsid w:val="006F678D"/>
    <w:rsid w:val="006F7E8A"/>
    <w:rsid w:val="00700862"/>
    <w:rsid w:val="00700FFE"/>
    <w:rsid w:val="0070389C"/>
    <w:rsid w:val="007039F2"/>
    <w:rsid w:val="00703E2D"/>
    <w:rsid w:val="00705798"/>
    <w:rsid w:val="00706202"/>
    <w:rsid w:val="00706E5A"/>
    <w:rsid w:val="00707B6E"/>
    <w:rsid w:val="00711F21"/>
    <w:rsid w:val="007143CA"/>
    <w:rsid w:val="00715D71"/>
    <w:rsid w:val="0072085C"/>
    <w:rsid w:val="00722530"/>
    <w:rsid w:val="007225CF"/>
    <w:rsid w:val="007227F3"/>
    <w:rsid w:val="00722BDC"/>
    <w:rsid w:val="00722E21"/>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43EEB"/>
    <w:rsid w:val="00750FA5"/>
    <w:rsid w:val="0075359D"/>
    <w:rsid w:val="007539EE"/>
    <w:rsid w:val="00756146"/>
    <w:rsid w:val="00760AA8"/>
    <w:rsid w:val="00761AA7"/>
    <w:rsid w:val="00761B41"/>
    <w:rsid w:val="007653AC"/>
    <w:rsid w:val="007712A3"/>
    <w:rsid w:val="007719DB"/>
    <w:rsid w:val="00773342"/>
    <w:rsid w:val="0077694A"/>
    <w:rsid w:val="007775C2"/>
    <w:rsid w:val="0078400F"/>
    <w:rsid w:val="007870F3"/>
    <w:rsid w:val="007904E8"/>
    <w:rsid w:val="00794002"/>
    <w:rsid w:val="00794B8E"/>
    <w:rsid w:val="007A0631"/>
    <w:rsid w:val="007A2415"/>
    <w:rsid w:val="007A4ACF"/>
    <w:rsid w:val="007A5679"/>
    <w:rsid w:val="007A7941"/>
    <w:rsid w:val="007A7B79"/>
    <w:rsid w:val="007B10A1"/>
    <w:rsid w:val="007B2775"/>
    <w:rsid w:val="007B796A"/>
    <w:rsid w:val="007C2068"/>
    <w:rsid w:val="007C314E"/>
    <w:rsid w:val="007C5444"/>
    <w:rsid w:val="007C571B"/>
    <w:rsid w:val="007D0D89"/>
    <w:rsid w:val="007D5C84"/>
    <w:rsid w:val="007D612F"/>
    <w:rsid w:val="007D7250"/>
    <w:rsid w:val="007D7989"/>
    <w:rsid w:val="007E0541"/>
    <w:rsid w:val="007E283B"/>
    <w:rsid w:val="007E4104"/>
    <w:rsid w:val="007E6506"/>
    <w:rsid w:val="007E6630"/>
    <w:rsid w:val="007E74CE"/>
    <w:rsid w:val="007F0DFF"/>
    <w:rsid w:val="007F18C7"/>
    <w:rsid w:val="007F21E1"/>
    <w:rsid w:val="007F2454"/>
    <w:rsid w:val="007F249A"/>
    <w:rsid w:val="007F49B2"/>
    <w:rsid w:val="007F4BB5"/>
    <w:rsid w:val="007F4CD1"/>
    <w:rsid w:val="007F5F30"/>
    <w:rsid w:val="007F6563"/>
    <w:rsid w:val="008001A5"/>
    <w:rsid w:val="00800E7C"/>
    <w:rsid w:val="00802DD7"/>
    <w:rsid w:val="00807728"/>
    <w:rsid w:val="00810C20"/>
    <w:rsid w:val="00816B18"/>
    <w:rsid w:val="00821DA7"/>
    <w:rsid w:val="0082299C"/>
    <w:rsid w:val="00822A85"/>
    <w:rsid w:val="00823721"/>
    <w:rsid w:val="00830009"/>
    <w:rsid w:val="00830C15"/>
    <w:rsid w:val="00832FAA"/>
    <w:rsid w:val="00834910"/>
    <w:rsid w:val="008355C2"/>
    <w:rsid w:val="008359C8"/>
    <w:rsid w:val="0084273B"/>
    <w:rsid w:val="0084320C"/>
    <w:rsid w:val="00843501"/>
    <w:rsid w:val="0084602D"/>
    <w:rsid w:val="0085229E"/>
    <w:rsid w:val="00852784"/>
    <w:rsid w:val="00854267"/>
    <w:rsid w:val="0085449F"/>
    <w:rsid w:val="00855C78"/>
    <w:rsid w:val="0086371E"/>
    <w:rsid w:val="008640CC"/>
    <w:rsid w:val="008645E3"/>
    <w:rsid w:val="00864828"/>
    <w:rsid w:val="00870743"/>
    <w:rsid w:val="008709B8"/>
    <w:rsid w:val="00872919"/>
    <w:rsid w:val="00874406"/>
    <w:rsid w:val="0087502F"/>
    <w:rsid w:val="00876A15"/>
    <w:rsid w:val="00877A34"/>
    <w:rsid w:val="00877A71"/>
    <w:rsid w:val="0088091F"/>
    <w:rsid w:val="008841B2"/>
    <w:rsid w:val="00884540"/>
    <w:rsid w:val="008873F6"/>
    <w:rsid w:val="00890E68"/>
    <w:rsid w:val="008940F6"/>
    <w:rsid w:val="008A53DD"/>
    <w:rsid w:val="008A6A0D"/>
    <w:rsid w:val="008A7B08"/>
    <w:rsid w:val="008B1641"/>
    <w:rsid w:val="008B3B1D"/>
    <w:rsid w:val="008B4601"/>
    <w:rsid w:val="008B6191"/>
    <w:rsid w:val="008B6B17"/>
    <w:rsid w:val="008C140F"/>
    <w:rsid w:val="008C2FB2"/>
    <w:rsid w:val="008C6B40"/>
    <w:rsid w:val="008D12BF"/>
    <w:rsid w:val="008D1837"/>
    <w:rsid w:val="008D367F"/>
    <w:rsid w:val="008D43FA"/>
    <w:rsid w:val="008D4793"/>
    <w:rsid w:val="008D4CBD"/>
    <w:rsid w:val="008E03EC"/>
    <w:rsid w:val="008E2FCC"/>
    <w:rsid w:val="008E3093"/>
    <w:rsid w:val="008E6C1E"/>
    <w:rsid w:val="008E7B78"/>
    <w:rsid w:val="008F2FB1"/>
    <w:rsid w:val="008F757B"/>
    <w:rsid w:val="00900828"/>
    <w:rsid w:val="00900D31"/>
    <w:rsid w:val="00900EAF"/>
    <w:rsid w:val="009021E8"/>
    <w:rsid w:val="00903812"/>
    <w:rsid w:val="00904A57"/>
    <w:rsid w:val="00906663"/>
    <w:rsid w:val="0091352A"/>
    <w:rsid w:val="00914AA2"/>
    <w:rsid w:val="00915392"/>
    <w:rsid w:val="00916AE4"/>
    <w:rsid w:val="00917E2A"/>
    <w:rsid w:val="00925E78"/>
    <w:rsid w:val="00931A41"/>
    <w:rsid w:val="009320E3"/>
    <w:rsid w:val="00933915"/>
    <w:rsid w:val="00944CB0"/>
    <w:rsid w:val="0094584B"/>
    <w:rsid w:val="0095060E"/>
    <w:rsid w:val="009518D2"/>
    <w:rsid w:val="00953E8A"/>
    <w:rsid w:val="00966BB1"/>
    <w:rsid w:val="009674B8"/>
    <w:rsid w:val="00970410"/>
    <w:rsid w:val="00970D43"/>
    <w:rsid w:val="00971CE0"/>
    <w:rsid w:val="009805BD"/>
    <w:rsid w:val="0098118D"/>
    <w:rsid w:val="00981E50"/>
    <w:rsid w:val="009827BA"/>
    <w:rsid w:val="0098461E"/>
    <w:rsid w:val="00985076"/>
    <w:rsid w:val="0098586D"/>
    <w:rsid w:val="00987C51"/>
    <w:rsid w:val="00993332"/>
    <w:rsid w:val="0099637D"/>
    <w:rsid w:val="009974DC"/>
    <w:rsid w:val="00997723"/>
    <w:rsid w:val="009A11E6"/>
    <w:rsid w:val="009A3228"/>
    <w:rsid w:val="009A577D"/>
    <w:rsid w:val="009A7C06"/>
    <w:rsid w:val="009B03A5"/>
    <w:rsid w:val="009B275D"/>
    <w:rsid w:val="009B3925"/>
    <w:rsid w:val="009B6768"/>
    <w:rsid w:val="009B799E"/>
    <w:rsid w:val="009C09F9"/>
    <w:rsid w:val="009C39F9"/>
    <w:rsid w:val="009C4138"/>
    <w:rsid w:val="009D0DE8"/>
    <w:rsid w:val="009D1EF2"/>
    <w:rsid w:val="009D2F67"/>
    <w:rsid w:val="009D3B98"/>
    <w:rsid w:val="009D4F3C"/>
    <w:rsid w:val="009D4F40"/>
    <w:rsid w:val="009E3C87"/>
    <w:rsid w:val="009E46E2"/>
    <w:rsid w:val="009E4B0D"/>
    <w:rsid w:val="009E4DB0"/>
    <w:rsid w:val="009E704A"/>
    <w:rsid w:val="009E7D17"/>
    <w:rsid w:val="009F05C3"/>
    <w:rsid w:val="009F0CFA"/>
    <w:rsid w:val="009F2DE1"/>
    <w:rsid w:val="009F3242"/>
    <w:rsid w:val="009F3EA5"/>
    <w:rsid w:val="009F5A7B"/>
    <w:rsid w:val="00A03F73"/>
    <w:rsid w:val="00A047AC"/>
    <w:rsid w:val="00A06DC4"/>
    <w:rsid w:val="00A06F4C"/>
    <w:rsid w:val="00A07E72"/>
    <w:rsid w:val="00A12F22"/>
    <w:rsid w:val="00A140C4"/>
    <w:rsid w:val="00A160B4"/>
    <w:rsid w:val="00A160EE"/>
    <w:rsid w:val="00A21DD3"/>
    <w:rsid w:val="00A241FD"/>
    <w:rsid w:val="00A25119"/>
    <w:rsid w:val="00A25CE3"/>
    <w:rsid w:val="00A3196A"/>
    <w:rsid w:val="00A33B90"/>
    <w:rsid w:val="00A33EF5"/>
    <w:rsid w:val="00A3617B"/>
    <w:rsid w:val="00A36BE4"/>
    <w:rsid w:val="00A3798F"/>
    <w:rsid w:val="00A413C4"/>
    <w:rsid w:val="00A4153B"/>
    <w:rsid w:val="00A428D7"/>
    <w:rsid w:val="00A440B8"/>
    <w:rsid w:val="00A44CF3"/>
    <w:rsid w:val="00A47932"/>
    <w:rsid w:val="00A50459"/>
    <w:rsid w:val="00A54292"/>
    <w:rsid w:val="00A54816"/>
    <w:rsid w:val="00A54F47"/>
    <w:rsid w:val="00A554CE"/>
    <w:rsid w:val="00A5593B"/>
    <w:rsid w:val="00A57270"/>
    <w:rsid w:val="00A60F03"/>
    <w:rsid w:val="00A628C2"/>
    <w:rsid w:val="00A62F3E"/>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C45"/>
    <w:rsid w:val="00A928C9"/>
    <w:rsid w:val="00A9434D"/>
    <w:rsid w:val="00A9535C"/>
    <w:rsid w:val="00A96FAD"/>
    <w:rsid w:val="00A972A4"/>
    <w:rsid w:val="00A97E8E"/>
    <w:rsid w:val="00AA0677"/>
    <w:rsid w:val="00AA1F7F"/>
    <w:rsid w:val="00AA3945"/>
    <w:rsid w:val="00AA5AC8"/>
    <w:rsid w:val="00AB25AB"/>
    <w:rsid w:val="00AB2F33"/>
    <w:rsid w:val="00AB4BED"/>
    <w:rsid w:val="00AB6AC5"/>
    <w:rsid w:val="00AC2363"/>
    <w:rsid w:val="00AC61EC"/>
    <w:rsid w:val="00AC72F0"/>
    <w:rsid w:val="00AC7892"/>
    <w:rsid w:val="00AC791A"/>
    <w:rsid w:val="00AD198A"/>
    <w:rsid w:val="00AD392C"/>
    <w:rsid w:val="00AD5F68"/>
    <w:rsid w:val="00AD7126"/>
    <w:rsid w:val="00AE05C4"/>
    <w:rsid w:val="00AE59F0"/>
    <w:rsid w:val="00AE6C6D"/>
    <w:rsid w:val="00AF0285"/>
    <w:rsid w:val="00B000DB"/>
    <w:rsid w:val="00B0226A"/>
    <w:rsid w:val="00B035CE"/>
    <w:rsid w:val="00B06988"/>
    <w:rsid w:val="00B1087F"/>
    <w:rsid w:val="00B11633"/>
    <w:rsid w:val="00B136C8"/>
    <w:rsid w:val="00B20EB9"/>
    <w:rsid w:val="00B21A38"/>
    <w:rsid w:val="00B2208A"/>
    <w:rsid w:val="00B224F1"/>
    <w:rsid w:val="00B25D04"/>
    <w:rsid w:val="00B359F1"/>
    <w:rsid w:val="00B41260"/>
    <w:rsid w:val="00B41A1F"/>
    <w:rsid w:val="00B4316D"/>
    <w:rsid w:val="00B436F2"/>
    <w:rsid w:val="00B442B4"/>
    <w:rsid w:val="00B5290C"/>
    <w:rsid w:val="00B530A0"/>
    <w:rsid w:val="00B579B2"/>
    <w:rsid w:val="00B65329"/>
    <w:rsid w:val="00B6725F"/>
    <w:rsid w:val="00B70335"/>
    <w:rsid w:val="00B72875"/>
    <w:rsid w:val="00B745E9"/>
    <w:rsid w:val="00B77ED0"/>
    <w:rsid w:val="00B81F48"/>
    <w:rsid w:val="00B830DD"/>
    <w:rsid w:val="00B8325F"/>
    <w:rsid w:val="00B85CF8"/>
    <w:rsid w:val="00B9065D"/>
    <w:rsid w:val="00B9232D"/>
    <w:rsid w:val="00B923F1"/>
    <w:rsid w:val="00B93AD1"/>
    <w:rsid w:val="00B93FBE"/>
    <w:rsid w:val="00B94763"/>
    <w:rsid w:val="00BA1F43"/>
    <w:rsid w:val="00BA31AA"/>
    <w:rsid w:val="00BA4230"/>
    <w:rsid w:val="00BA4468"/>
    <w:rsid w:val="00BA5201"/>
    <w:rsid w:val="00BB11ED"/>
    <w:rsid w:val="00BB1545"/>
    <w:rsid w:val="00BB1802"/>
    <w:rsid w:val="00BB304A"/>
    <w:rsid w:val="00BB3FC9"/>
    <w:rsid w:val="00BB657B"/>
    <w:rsid w:val="00BB7E7F"/>
    <w:rsid w:val="00BC12FE"/>
    <w:rsid w:val="00BC1827"/>
    <w:rsid w:val="00BC237F"/>
    <w:rsid w:val="00BC2DA6"/>
    <w:rsid w:val="00BC589A"/>
    <w:rsid w:val="00BD036F"/>
    <w:rsid w:val="00BD0868"/>
    <w:rsid w:val="00BD18D7"/>
    <w:rsid w:val="00BD1D1E"/>
    <w:rsid w:val="00BD710E"/>
    <w:rsid w:val="00BD75AF"/>
    <w:rsid w:val="00BE3E96"/>
    <w:rsid w:val="00BE6932"/>
    <w:rsid w:val="00BF70B0"/>
    <w:rsid w:val="00BF73F0"/>
    <w:rsid w:val="00BF7961"/>
    <w:rsid w:val="00C03748"/>
    <w:rsid w:val="00C04104"/>
    <w:rsid w:val="00C05B21"/>
    <w:rsid w:val="00C10460"/>
    <w:rsid w:val="00C10AAB"/>
    <w:rsid w:val="00C10F89"/>
    <w:rsid w:val="00C11A9A"/>
    <w:rsid w:val="00C11D3B"/>
    <w:rsid w:val="00C1543B"/>
    <w:rsid w:val="00C20CC5"/>
    <w:rsid w:val="00C212C5"/>
    <w:rsid w:val="00C2134C"/>
    <w:rsid w:val="00C23E09"/>
    <w:rsid w:val="00C33295"/>
    <w:rsid w:val="00C33DD7"/>
    <w:rsid w:val="00C36D69"/>
    <w:rsid w:val="00C406FB"/>
    <w:rsid w:val="00C4100B"/>
    <w:rsid w:val="00C410A5"/>
    <w:rsid w:val="00C45EA3"/>
    <w:rsid w:val="00C5065A"/>
    <w:rsid w:val="00C509C4"/>
    <w:rsid w:val="00C56180"/>
    <w:rsid w:val="00C61DAC"/>
    <w:rsid w:val="00C628C9"/>
    <w:rsid w:val="00C6472A"/>
    <w:rsid w:val="00C64EEA"/>
    <w:rsid w:val="00C66EE5"/>
    <w:rsid w:val="00C73AAF"/>
    <w:rsid w:val="00C76D98"/>
    <w:rsid w:val="00C76E7C"/>
    <w:rsid w:val="00C81613"/>
    <w:rsid w:val="00C83CAD"/>
    <w:rsid w:val="00C83EA4"/>
    <w:rsid w:val="00C84B7F"/>
    <w:rsid w:val="00C8520A"/>
    <w:rsid w:val="00C9098F"/>
    <w:rsid w:val="00C9123A"/>
    <w:rsid w:val="00C92DB0"/>
    <w:rsid w:val="00C93EAA"/>
    <w:rsid w:val="00C943C1"/>
    <w:rsid w:val="00C94DCD"/>
    <w:rsid w:val="00C95BD4"/>
    <w:rsid w:val="00C9763D"/>
    <w:rsid w:val="00CA147F"/>
    <w:rsid w:val="00CA4627"/>
    <w:rsid w:val="00CA4B81"/>
    <w:rsid w:val="00CB1303"/>
    <w:rsid w:val="00CB14A4"/>
    <w:rsid w:val="00CB3F1D"/>
    <w:rsid w:val="00CB6A03"/>
    <w:rsid w:val="00CB74C6"/>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2677"/>
    <w:rsid w:val="00CF60B5"/>
    <w:rsid w:val="00CF6FF6"/>
    <w:rsid w:val="00CF72F4"/>
    <w:rsid w:val="00D0078C"/>
    <w:rsid w:val="00D02A8C"/>
    <w:rsid w:val="00D02F38"/>
    <w:rsid w:val="00D03827"/>
    <w:rsid w:val="00D05DE8"/>
    <w:rsid w:val="00D12B43"/>
    <w:rsid w:val="00D15F46"/>
    <w:rsid w:val="00D16824"/>
    <w:rsid w:val="00D252CB"/>
    <w:rsid w:val="00D31827"/>
    <w:rsid w:val="00D33FB6"/>
    <w:rsid w:val="00D3440F"/>
    <w:rsid w:val="00D3500F"/>
    <w:rsid w:val="00D35BD2"/>
    <w:rsid w:val="00D371B3"/>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5E88"/>
    <w:rsid w:val="00D77D17"/>
    <w:rsid w:val="00D80D3B"/>
    <w:rsid w:val="00D82BCB"/>
    <w:rsid w:val="00D82D97"/>
    <w:rsid w:val="00D8339E"/>
    <w:rsid w:val="00D855DF"/>
    <w:rsid w:val="00D956E1"/>
    <w:rsid w:val="00D9625C"/>
    <w:rsid w:val="00DA151F"/>
    <w:rsid w:val="00DA1AF1"/>
    <w:rsid w:val="00DA2331"/>
    <w:rsid w:val="00DA2C9F"/>
    <w:rsid w:val="00DA400C"/>
    <w:rsid w:val="00DA579E"/>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ED6"/>
    <w:rsid w:val="00DE26C6"/>
    <w:rsid w:val="00DE341F"/>
    <w:rsid w:val="00DE4B44"/>
    <w:rsid w:val="00DE6323"/>
    <w:rsid w:val="00DF01A2"/>
    <w:rsid w:val="00DF248C"/>
    <w:rsid w:val="00DF2CCC"/>
    <w:rsid w:val="00E01B9A"/>
    <w:rsid w:val="00E03633"/>
    <w:rsid w:val="00E05EF7"/>
    <w:rsid w:val="00E104B7"/>
    <w:rsid w:val="00E1127A"/>
    <w:rsid w:val="00E12D9B"/>
    <w:rsid w:val="00E229C3"/>
    <w:rsid w:val="00E237D7"/>
    <w:rsid w:val="00E261A3"/>
    <w:rsid w:val="00E26AC1"/>
    <w:rsid w:val="00E27E25"/>
    <w:rsid w:val="00E304DD"/>
    <w:rsid w:val="00E31F06"/>
    <w:rsid w:val="00E363DC"/>
    <w:rsid w:val="00E37BA9"/>
    <w:rsid w:val="00E37EF1"/>
    <w:rsid w:val="00E4156C"/>
    <w:rsid w:val="00E425DF"/>
    <w:rsid w:val="00E43545"/>
    <w:rsid w:val="00E43BA3"/>
    <w:rsid w:val="00E448E2"/>
    <w:rsid w:val="00E474E8"/>
    <w:rsid w:val="00E521F7"/>
    <w:rsid w:val="00E536CE"/>
    <w:rsid w:val="00E557CD"/>
    <w:rsid w:val="00E55FC6"/>
    <w:rsid w:val="00E56A64"/>
    <w:rsid w:val="00E61144"/>
    <w:rsid w:val="00E6151E"/>
    <w:rsid w:val="00E62860"/>
    <w:rsid w:val="00E63ECB"/>
    <w:rsid w:val="00E70D5B"/>
    <w:rsid w:val="00E712F4"/>
    <w:rsid w:val="00E715BD"/>
    <w:rsid w:val="00E71BA6"/>
    <w:rsid w:val="00E7275C"/>
    <w:rsid w:val="00E7327D"/>
    <w:rsid w:val="00E762FE"/>
    <w:rsid w:val="00E76895"/>
    <w:rsid w:val="00E77E73"/>
    <w:rsid w:val="00E81EA2"/>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1710"/>
    <w:rsid w:val="00EA567C"/>
    <w:rsid w:val="00EA64A1"/>
    <w:rsid w:val="00EB18D9"/>
    <w:rsid w:val="00EB2758"/>
    <w:rsid w:val="00EC0373"/>
    <w:rsid w:val="00EC070F"/>
    <w:rsid w:val="00EC227A"/>
    <w:rsid w:val="00EC2C66"/>
    <w:rsid w:val="00EC3933"/>
    <w:rsid w:val="00EC65A3"/>
    <w:rsid w:val="00ED01AE"/>
    <w:rsid w:val="00ED188B"/>
    <w:rsid w:val="00ED2C5C"/>
    <w:rsid w:val="00ED34A3"/>
    <w:rsid w:val="00ED5A96"/>
    <w:rsid w:val="00ED7C80"/>
    <w:rsid w:val="00EE1193"/>
    <w:rsid w:val="00EE1C34"/>
    <w:rsid w:val="00EE1D22"/>
    <w:rsid w:val="00EE2D59"/>
    <w:rsid w:val="00EE6A65"/>
    <w:rsid w:val="00EF08C5"/>
    <w:rsid w:val="00EF0906"/>
    <w:rsid w:val="00EF5176"/>
    <w:rsid w:val="00EF6930"/>
    <w:rsid w:val="00EF76C7"/>
    <w:rsid w:val="00F006D1"/>
    <w:rsid w:val="00F019C8"/>
    <w:rsid w:val="00F0223F"/>
    <w:rsid w:val="00F02A74"/>
    <w:rsid w:val="00F02E93"/>
    <w:rsid w:val="00F03717"/>
    <w:rsid w:val="00F0515B"/>
    <w:rsid w:val="00F06641"/>
    <w:rsid w:val="00F06667"/>
    <w:rsid w:val="00F076E0"/>
    <w:rsid w:val="00F07CF8"/>
    <w:rsid w:val="00F10C91"/>
    <w:rsid w:val="00F1448F"/>
    <w:rsid w:val="00F17569"/>
    <w:rsid w:val="00F21282"/>
    <w:rsid w:val="00F213E9"/>
    <w:rsid w:val="00F23924"/>
    <w:rsid w:val="00F23B64"/>
    <w:rsid w:val="00F310F7"/>
    <w:rsid w:val="00F330B0"/>
    <w:rsid w:val="00F3344A"/>
    <w:rsid w:val="00F33775"/>
    <w:rsid w:val="00F337A5"/>
    <w:rsid w:val="00F338B6"/>
    <w:rsid w:val="00F346D4"/>
    <w:rsid w:val="00F34844"/>
    <w:rsid w:val="00F34B84"/>
    <w:rsid w:val="00F36AE4"/>
    <w:rsid w:val="00F40BC4"/>
    <w:rsid w:val="00F40E01"/>
    <w:rsid w:val="00F434C5"/>
    <w:rsid w:val="00F474EC"/>
    <w:rsid w:val="00F51E2F"/>
    <w:rsid w:val="00F5259E"/>
    <w:rsid w:val="00F5392C"/>
    <w:rsid w:val="00F53C3C"/>
    <w:rsid w:val="00F62FF1"/>
    <w:rsid w:val="00F631D8"/>
    <w:rsid w:val="00F64CE9"/>
    <w:rsid w:val="00F65A51"/>
    <w:rsid w:val="00F70FBD"/>
    <w:rsid w:val="00F74091"/>
    <w:rsid w:val="00F76CBF"/>
    <w:rsid w:val="00F8108F"/>
    <w:rsid w:val="00F835C8"/>
    <w:rsid w:val="00F84569"/>
    <w:rsid w:val="00F84A7C"/>
    <w:rsid w:val="00F864D5"/>
    <w:rsid w:val="00F932DA"/>
    <w:rsid w:val="00F977F5"/>
    <w:rsid w:val="00FA1C5D"/>
    <w:rsid w:val="00FA32B8"/>
    <w:rsid w:val="00FA56D9"/>
    <w:rsid w:val="00FB6E8F"/>
    <w:rsid w:val="00FB7D4A"/>
    <w:rsid w:val="00FC2A9E"/>
    <w:rsid w:val="00FC609F"/>
    <w:rsid w:val="00FC79B0"/>
    <w:rsid w:val="00FD1CDF"/>
    <w:rsid w:val="00FD26DB"/>
    <w:rsid w:val="00FD480E"/>
    <w:rsid w:val="00FD7720"/>
    <w:rsid w:val="00FE0051"/>
    <w:rsid w:val="00FE3F20"/>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84AA06E"/>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EC0373"/>
    <w:pPr>
      <w:spacing w:before="0" w:after="0"/>
    </w:pPr>
    <w:rPr>
      <w:sz w:val="20"/>
      <w:szCs w:val="20"/>
    </w:rPr>
  </w:style>
  <w:style w:type="character" w:customStyle="1" w:styleId="FootnoteTextChar">
    <w:name w:val="Footnote Text Char"/>
    <w:basedOn w:val="DefaultParagraphFont"/>
    <w:link w:val="FootnoteText"/>
    <w:semiHidden/>
    <w:rsid w:val="00EC0373"/>
    <w:rPr>
      <w:rFonts w:ascii="Arial" w:hAnsi="Arial"/>
    </w:rPr>
  </w:style>
  <w:style w:type="character" w:styleId="FootnoteReference">
    <w:name w:val="footnote reference"/>
    <w:basedOn w:val="DefaultParagraphFont"/>
    <w:semiHidden/>
    <w:unhideWhenUsed/>
    <w:rsid w:val="00EC0373"/>
    <w:rPr>
      <w:vertAlign w:val="superscript"/>
    </w:rPr>
  </w:style>
  <w:style w:type="character" w:customStyle="1" w:styleId="Heading2Char">
    <w:name w:val="Heading 2 Char"/>
    <w:link w:val="Heading2"/>
    <w:rsid w:val="00E237D7"/>
    <w:rPr>
      <w:rFonts w:ascii="Arial" w:hAnsi="Arial" w:cs="Arial"/>
      <w:b/>
      <w:bCs/>
      <w:iCs/>
      <w:color w:val="4C8C2B"/>
      <w:sz w:val="32"/>
      <w:szCs w:val="28"/>
    </w:rPr>
  </w:style>
  <w:style w:type="character" w:customStyle="1" w:styleId="FooterChar">
    <w:name w:val="Footer Char"/>
    <w:basedOn w:val="DefaultParagraphFont"/>
    <w:link w:val="Footer"/>
    <w:uiPriority w:val="99"/>
    <w:rsid w:val="00966BB1"/>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aihw.gov.au/reports/disability/people-with-disability-in-australia/contents/housing" TargetMode="External"/><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s://www.aihw.gov.au/reports/disability/people-with-disability-in-australia/contents/people-with-disability/prevalence-of-disability" TargetMode="External"/><Relationship Id="rId33" Type="http://schemas.openxmlformats.org/officeDocument/2006/relationships/hyperlink" Target="https://www.abs.gov.au/statistics/people/housing/estimating-homelessness-census/2021"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s://pp.planningportal.nsw.gov.au/pop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ihw.gov.au/reports/older-people/older-australians/contents/housing-and-living-arrangements" TargetMode="External"/><Relationship Id="rId32" Type="http://schemas.openxmlformats.org/officeDocument/2006/relationships/hyperlink" Target="https://www.facs.nsw.gov.au/reforms/homelessness/premiers-priority-to-reduce-street-homelessness/street-cou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acs.nsw.gov.au/resources/nsw-local-government-housing-kit/chapters/local-government-housing-kit-database" TargetMode="External"/><Relationship Id="rId28" Type="http://schemas.openxmlformats.org/officeDocument/2006/relationships/hyperlink" Target="https://www.planning.nsw.gov.au/Research-and-Demography/Population-Projections/Projections"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aihw.gov.au/reports/australias-welfare/homelessness-and-homelessness-servic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https://www.pc.gov.au/research/completed/housing-decisions-older-australians" TargetMode="External"/><Relationship Id="rId30" Type="http://schemas.openxmlformats.org/officeDocument/2006/relationships/hyperlink" Target="https://homelessnessnsw.org.au/resource/specialist-homelessness-service-data/" TargetMode="Externa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4336-A61C-4F9A-B017-2465D555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486</TotalTime>
  <Pages>13</Pages>
  <Words>3416</Words>
  <Characters>20095</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23465</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District - Whats Happening with Demand</dc:title>
  <dc:creator>Laura Yan Guo</dc:creator>
  <cp:lastModifiedBy>JOSHUA YOUKHANA</cp:lastModifiedBy>
  <cp:revision>73</cp:revision>
  <cp:lastPrinted>1900-12-31T14:00:00Z</cp:lastPrinted>
  <dcterms:created xsi:type="dcterms:W3CDTF">2023-02-28T01:15:00Z</dcterms:created>
  <dcterms:modified xsi:type="dcterms:W3CDTF">2023-09-11T01:34:00Z</dcterms:modified>
</cp:coreProperties>
</file>