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0C62" w14:textId="77777777" w:rsidR="00555F5C" w:rsidRDefault="00C91045" w:rsidP="00555F5C">
      <w:pPr>
        <w:rPr>
          <w:b/>
          <w:color w:val="008000"/>
          <w:sz w:val="32"/>
        </w:rPr>
      </w:pPr>
      <w:r>
        <w:rPr>
          <w:b/>
          <w:color w:val="008000"/>
          <w:sz w:val="32"/>
        </w:rPr>
        <w:t>South and East Tablelands</w:t>
      </w:r>
      <w:r w:rsidR="00CD54F1">
        <w:rPr>
          <w:b/>
          <w:color w:val="008000"/>
          <w:sz w:val="32"/>
        </w:rPr>
        <w:t xml:space="preserve"> Region</w:t>
      </w:r>
      <w:r w:rsidR="00211B89">
        <w:rPr>
          <w:b/>
          <w:color w:val="008000"/>
          <w:sz w:val="32"/>
        </w:rPr>
        <w:t xml:space="preserve"> </w:t>
      </w:r>
      <w:r w:rsidR="00555F5C" w:rsidRPr="00CE3DDD">
        <w:rPr>
          <w:b/>
          <w:color w:val="008000"/>
          <w:sz w:val="32"/>
        </w:rPr>
        <w:t xml:space="preserve">– What’s the </w:t>
      </w:r>
      <w:r w:rsidR="0079383D">
        <w:rPr>
          <w:b/>
          <w:color w:val="008000"/>
          <w:sz w:val="32"/>
        </w:rPr>
        <w:t>H</w:t>
      </w:r>
      <w:r w:rsidR="00555F5C" w:rsidRPr="00CE3DDD">
        <w:rPr>
          <w:b/>
          <w:color w:val="008000"/>
          <w:sz w:val="32"/>
        </w:rPr>
        <w:t>ousing Demand?</w:t>
      </w:r>
    </w:p>
    <w:p w14:paraId="4E97F5B3" w14:textId="2B97AC93" w:rsidR="00D97822" w:rsidRDefault="00D97822" w:rsidP="00D97822">
      <w:pPr>
        <w:rPr>
          <w:sz w:val="22"/>
          <w:szCs w:val="22"/>
        </w:rPr>
      </w:pPr>
      <w:r>
        <w:rPr>
          <w:sz w:val="22"/>
          <w:szCs w:val="22"/>
        </w:rPr>
        <w:t>This Housing Snapshot looks at aspects of housing demand in the South and East Tablelands, particularly from the 2016 Census to the 2021 Census – including population, age profile, household type, household size, income (change in low, moderate and high income households and low income rental households), homelessness</w:t>
      </w:r>
      <w:r w:rsidR="00AF6A7F">
        <w:rPr>
          <w:sz w:val="22"/>
          <w:szCs w:val="22"/>
        </w:rPr>
        <w:t xml:space="preserve"> </w:t>
      </w:r>
      <w:r>
        <w:rPr>
          <w:sz w:val="22"/>
          <w:szCs w:val="22"/>
        </w:rPr>
        <w:t xml:space="preserve">and people with disability. </w:t>
      </w:r>
    </w:p>
    <w:p w14:paraId="36B9B5A9" w14:textId="77777777" w:rsidR="006461EC" w:rsidRPr="00612D7E" w:rsidRDefault="006461EC" w:rsidP="006461EC">
      <w:pPr>
        <w:rPr>
          <w:sz w:val="22"/>
          <w:szCs w:val="22"/>
        </w:rPr>
      </w:pPr>
      <w:r w:rsidRPr="00D97822">
        <w:rPr>
          <w:sz w:val="22"/>
          <w:szCs w:val="22"/>
        </w:rPr>
        <w:t xml:space="preserve">There have been significant challenges to this region since the 2016 Census, including natural disasters and unexpectedly high additional </w:t>
      </w:r>
      <w:proofErr w:type="spellStart"/>
      <w:r w:rsidRPr="00D97822">
        <w:rPr>
          <w:sz w:val="22"/>
          <w:szCs w:val="22"/>
        </w:rPr>
        <w:t>inmigration</w:t>
      </w:r>
      <w:proofErr w:type="spellEnd"/>
      <w:r w:rsidRPr="00D97822">
        <w:rPr>
          <w:sz w:val="22"/>
          <w:szCs w:val="22"/>
        </w:rPr>
        <w:t xml:space="preserve"> – in part due to the desire for sea and tree changes and increased ability to work remotely - which have impacted the community and the demand for housing.</w:t>
      </w:r>
    </w:p>
    <w:p w14:paraId="0D7AE1E0" w14:textId="77777777" w:rsidR="006461EC" w:rsidRPr="006461EC" w:rsidRDefault="006461EC" w:rsidP="00555F5C">
      <w:pPr>
        <w:rPr>
          <w:sz w:val="22"/>
          <w:szCs w:val="22"/>
        </w:rPr>
      </w:pPr>
    </w:p>
    <w:p w14:paraId="3E37FACF" w14:textId="77777777" w:rsidR="00555F5C" w:rsidRPr="00293101" w:rsidRDefault="00555F5C" w:rsidP="00555F5C">
      <w:pPr>
        <w:rPr>
          <w:b/>
          <w:color w:val="008000"/>
          <w:sz w:val="32"/>
        </w:rPr>
      </w:pPr>
      <w:r w:rsidRPr="00293101">
        <w:rPr>
          <w:b/>
          <w:color w:val="008000"/>
          <w:sz w:val="32"/>
        </w:rPr>
        <w:t>Population Forecast</w:t>
      </w:r>
    </w:p>
    <w:p w14:paraId="049DA607" w14:textId="77777777" w:rsidR="006461EC" w:rsidRPr="0035336A" w:rsidRDefault="006461EC" w:rsidP="006461EC">
      <w:pPr>
        <w:pStyle w:val="ListParagraph"/>
        <w:numPr>
          <w:ilvl w:val="0"/>
          <w:numId w:val="14"/>
        </w:numPr>
        <w:rPr>
          <w:sz w:val="22"/>
          <w:szCs w:val="22"/>
        </w:rPr>
      </w:pPr>
      <w:r w:rsidRPr="0035336A">
        <w:rPr>
          <w:sz w:val="22"/>
          <w:szCs w:val="22"/>
        </w:rPr>
        <w:t xml:space="preserve">Between 2016 and 2021, the population of the </w:t>
      </w:r>
      <w:r w:rsidR="00BD3CD4">
        <w:rPr>
          <w:sz w:val="22"/>
          <w:szCs w:val="22"/>
        </w:rPr>
        <w:t>South and East Table</w:t>
      </w:r>
      <w:r w:rsidR="00C84EA9">
        <w:rPr>
          <w:sz w:val="22"/>
          <w:szCs w:val="22"/>
        </w:rPr>
        <w:t>l</w:t>
      </w:r>
      <w:r w:rsidR="00BD3CD4">
        <w:rPr>
          <w:sz w:val="22"/>
          <w:szCs w:val="22"/>
        </w:rPr>
        <w:t>ands</w:t>
      </w:r>
      <w:r w:rsidRPr="0035336A">
        <w:rPr>
          <w:sz w:val="22"/>
          <w:szCs w:val="22"/>
        </w:rPr>
        <w:t xml:space="preserve"> grew by </w:t>
      </w:r>
      <w:r w:rsidR="00142AB5">
        <w:rPr>
          <w:sz w:val="22"/>
          <w:szCs w:val="22"/>
        </w:rPr>
        <w:t>9.3</w:t>
      </w:r>
      <w:r w:rsidRPr="0035336A">
        <w:rPr>
          <w:sz w:val="22"/>
          <w:szCs w:val="22"/>
        </w:rPr>
        <w:t xml:space="preserve">% or </w:t>
      </w:r>
      <w:r w:rsidR="00142AB5">
        <w:rPr>
          <w:sz w:val="22"/>
          <w:szCs w:val="22"/>
        </w:rPr>
        <w:t>24,770</w:t>
      </w:r>
      <w:r w:rsidRPr="0035336A">
        <w:rPr>
          <w:sz w:val="22"/>
          <w:szCs w:val="22"/>
        </w:rPr>
        <w:t xml:space="preserve">, from </w:t>
      </w:r>
      <w:r w:rsidR="00BD3CD4">
        <w:rPr>
          <w:sz w:val="22"/>
          <w:szCs w:val="22"/>
        </w:rPr>
        <w:t>266,5</w:t>
      </w:r>
      <w:r w:rsidR="00142AB5">
        <w:rPr>
          <w:sz w:val="22"/>
          <w:szCs w:val="22"/>
        </w:rPr>
        <w:t>4</w:t>
      </w:r>
      <w:r w:rsidR="00BD3CD4">
        <w:rPr>
          <w:sz w:val="22"/>
          <w:szCs w:val="22"/>
        </w:rPr>
        <w:t>6</w:t>
      </w:r>
      <w:r w:rsidRPr="0035336A">
        <w:rPr>
          <w:sz w:val="22"/>
          <w:szCs w:val="22"/>
        </w:rPr>
        <w:t xml:space="preserve"> to </w:t>
      </w:r>
      <w:r>
        <w:rPr>
          <w:sz w:val="22"/>
          <w:szCs w:val="22"/>
        </w:rPr>
        <w:t>2</w:t>
      </w:r>
      <w:r w:rsidR="00142AB5">
        <w:rPr>
          <w:sz w:val="22"/>
          <w:szCs w:val="22"/>
        </w:rPr>
        <w:t xml:space="preserve">91,316 </w:t>
      </w:r>
      <w:r w:rsidR="009C75AA">
        <w:rPr>
          <w:sz w:val="22"/>
          <w:szCs w:val="22"/>
        </w:rPr>
        <w:t>(</w:t>
      </w:r>
      <w:r w:rsidR="00142AB5">
        <w:rPr>
          <w:sz w:val="22"/>
          <w:szCs w:val="22"/>
        </w:rPr>
        <w:t>using ABS Census population data</w:t>
      </w:r>
      <w:r w:rsidR="009C75AA">
        <w:rPr>
          <w:sz w:val="22"/>
          <w:szCs w:val="22"/>
        </w:rPr>
        <w:t>)</w:t>
      </w:r>
      <w:r w:rsidRPr="0035336A">
        <w:rPr>
          <w:sz w:val="22"/>
          <w:szCs w:val="22"/>
        </w:rPr>
        <w:t>.</w:t>
      </w:r>
    </w:p>
    <w:p w14:paraId="2EF71151" w14:textId="77777777" w:rsidR="006461EC" w:rsidRDefault="006461EC" w:rsidP="006461EC">
      <w:pPr>
        <w:pStyle w:val="ListParagraph"/>
        <w:numPr>
          <w:ilvl w:val="0"/>
          <w:numId w:val="14"/>
        </w:numPr>
        <w:rPr>
          <w:sz w:val="22"/>
          <w:szCs w:val="22"/>
        </w:rPr>
      </w:pPr>
      <w:r w:rsidRPr="0035336A">
        <w:rPr>
          <w:sz w:val="22"/>
          <w:szCs w:val="22"/>
        </w:rPr>
        <w:t xml:space="preserve">On an individual LGA basis, </w:t>
      </w:r>
      <w:r>
        <w:rPr>
          <w:sz w:val="22"/>
          <w:szCs w:val="22"/>
        </w:rPr>
        <w:t xml:space="preserve">population growth ranged from </w:t>
      </w:r>
      <w:r w:rsidR="007848C2" w:rsidRPr="008322F9">
        <w:rPr>
          <w:sz w:val="22"/>
          <w:szCs w:val="22"/>
        </w:rPr>
        <w:t>1</w:t>
      </w:r>
      <w:r w:rsidR="008322F9">
        <w:rPr>
          <w:sz w:val="22"/>
          <w:szCs w:val="22"/>
        </w:rPr>
        <w:t>3.0</w:t>
      </w:r>
      <w:r w:rsidRPr="008322F9">
        <w:rPr>
          <w:sz w:val="22"/>
          <w:szCs w:val="22"/>
        </w:rPr>
        <w:t xml:space="preserve">% in </w:t>
      </w:r>
      <w:r w:rsidR="007848C2" w:rsidRPr="008322F9">
        <w:rPr>
          <w:sz w:val="22"/>
          <w:szCs w:val="22"/>
        </w:rPr>
        <w:t>Queanbeyan-</w:t>
      </w:r>
      <w:proofErr w:type="spellStart"/>
      <w:r w:rsidR="007848C2" w:rsidRPr="008322F9">
        <w:rPr>
          <w:sz w:val="22"/>
          <w:szCs w:val="22"/>
        </w:rPr>
        <w:t>Palerang</w:t>
      </w:r>
      <w:proofErr w:type="spellEnd"/>
      <w:r w:rsidR="007848C2" w:rsidRPr="008322F9">
        <w:rPr>
          <w:sz w:val="22"/>
          <w:szCs w:val="22"/>
        </w:rPr>
        <w:t xml:space="preserve"> Regional</w:t>
      </w:r>
      <w:r w:rsidRPr="008322F9">
        <w:rPr>
          <w:sz w:val="22"/>
          <w:szCs w:val="22"/>
        </w:rPr>
        <w:t xml:space="preserve"> to </w:t>
      </w:r>
      <w:r w:rsidR="008322F9">
        <w:rPr>
          <w:sz w:val="22"/>
          <w:szCs w:val="22"/>
        </w:rPr>
        <w:t>4.1</w:t>
      </w:r>
      <w:r w:rsidRPr="008322F9">
        <w:rPr>
          <w:sz w:val="22"/>
          <w:szCs w:val="22"/>
        </w:rPr>
        <w:t xml:space="preserve">% in </w:t>
      </w:r>
      <w:r w:rsidR="007848C2" w:rsidRPr="008322F9">
        <w:rPr>
          <w:sz w:val="22"/>
          <w:szCs w:val="22"/>
        </w:rPr>
        <w:t>Hilltops</w:t>
      </w:r>
      <w:r w:rsidRPr="008322F9">
        <w:rPr>
          <w:sz w:val="22"/>
          <w:szCs w:val="22"/>
        </w:rPr>
        <w:t xml:space="preserve">.  In terms of numbers, </w:t>
      </w:r>
      <w:r w:rsidR="007848C2" w:rsidRPr="008322F9">
        <w:rPr>
          <w:sz w:val="22"/>
          <w:szCs w:val="22"/>
        </w:rPr>
        <w:t>Queanbeyan-</w:t>
      </w:r>
      <w:proofErr w:type="spellStart"/>
      <w:r w:rsidR="007848C2" w:rsidRPr="008322F9">
        <w:rPr>
          <w:sz w:val="22"/>
          <w:szCs w:val="22"/>
        </w:rPr>
        <w:t>Palerang</w:t>
      </w:r>
      <w:proofErr w:type="spellEnd"/>
      <w:r w:rsidR="007848C2" w:rsidRPr="008322F9">
        <w:rPr>
          <w:sz w:val="22"/>
          <w:szCs w:val="22"/>
        </w:rPr>
        <w:t xml:space="preserve"> Regional </w:t>
      </w:r>
      <w:r w:rsidRPr="008322F9">
        <w:rPr>
          <w:sz w:val="22"/>
          <w:szCs w:val="22"/>
        </w:rPr>
        <w:t xml:space="preserve">had the largest increase with an additional </w:t>
      </w:r>
      <w:r w:rsidR="008322F9">
        <w:rPr>
          <w:sz w:val="22"/>
          <w:szCs w:val="22"/>
        </w:rPr>
        <w:t>7,277 residents</w:t>
      </w:r>
      <w:r w:rsidRPr="008322F9">
        <w:rPr>
          <w:sz w:val="22"/>
          <w:szCs w:val="22"/>
        </w:rPr>
        <w:t xml:space="preserve">, followed by </w:t>
      </w:r>
      <w:proofErr w:type="spellStart"/>
      <w:r w:rsidR="007848C2" w:rsidRPr="008322F9">
        <w:rPr>
          <w:sz w:val="22"/>
          <w:szCs w:val="22"/>
        </w:rPr>
        <w:t>Wingecarribee</w:t>
      </w:r>
      <w:proofErr w:type="spellEnd"/>
      <w:r w:rsidR="007848C2" w:rsidRPr="008322F9">
        <w:rPr>
          <w:sz w:val="22"/>
          <w:szCs w:val="22"/>
        </w:rPr>
        <w:t xml:space="preserve"> with 4,</w:t>
      </w:r>
      <w:r w:rsidR="008322F9">
        <w:rPr>
          <w:sz w:val="22"/>
          <w:szCs w:val="22"/>
        </w:rPr>
        <w:t>831</w:t>
      </w:r>
      <w:r w:rsidR="007848C2" w:rsidRPr="008322F9">
        <w:rPr>
          <w:sz w:val="22"/>
          <w:szCs w:val="22"/>
        </w:rPr>
        <w:t xml:space="preserve"> and </w:t>
      </w:r>
      <w:r w:rsidR="008322F9">
        <w:rPr>
          <w:sz w:val="22"/>
          <w:szCs w:val="22"/>
        </w:rPr>
        <w:t>Eurobodalla</w:t>
      </w:r>
      <w:r w:rsidR="007848C2">
        <w:rPr>
          <w:sz w:val="22"/>
          <w:szCs w:val="22"/>
        </w:rPr>
        <w:t xml:space="preserve"> with </w:t>
      </w:r>
      <w:r w:rsidR="008322F9">
        <w:rPr>
          <w:sz w:val="22"/>
          <w:szCs w:val="22"/>
        </w:rPr>
        <w:t>3,364</w:t>
      </w:r>
      <w:r>
        <w:rPr>
          <w:sz w:val="22"/>
          <w:szCs w:val="22"/>
        </w:rPr>
        <w:t>.</w:t>
      </w:r>
    </w:p>
    <w:p w14:paraId="576021CC" w14:textId="77777777" w:rsidR="006461EC" w:rsidRDefault="007848C2" w:rsidP="006461EC">
      <w:pPr>
        <w:pStyle w:val="ListParagraph"/>
        <w:numPr>
          <w:ilvl w:val="0"/>
          <w:numId w:val="14"/>
        </w:numPr>
        <w:rPr>
          <w:sz w:val="22"/>
          <w:szCs w:val="22"/>
        </w:rPr>
      </w:pPr>
      <w:r>
        <w:rPr>
          <w:sz w:val="22"/>
          <w:szCs w:val="22"/>
        </w:rPr>
        <w:t>Queanbeyan-</w:t>
      </w:r>
      <w:proofErr w:type="spellStart"/>
      <w:r>
        <w:rPr>
          <w:sz w:val="22"/>
          <w:szCs w:val="22"/>
        </w:rPr>
        <w:t>Palerang</w:t>
      </w:r>
      <w:proofErr w:type="spellEnd"/>
      <w:r w:rsidR="006461EC">
        <w:rPr>
          <w:sz w:val="22"/>
          <w:szCs w:val="22"/>
        </w:rPr>
        <w:t xml:space="preserve"> has the largest population of the </w:t>
      </w:r>
      <w:r>
        <w:rPr>
          <w:sz w:val="22"/>
          <w:szCs w:val="22"/>
        </w:rPr>
        <w:t xml:space="preserve">South and East Tablelands </w:t>
      </w:r>
      <w:r w:rsidR="006461EC">
        <w:rPr>
          <w:sz w:val="22"/>
          <w:szCs w:val="22"/>
        </w:rPr>
        <w:t xml:space="preserve">LGAs with </w:t>
      </w:r>
      <w:r w:rsidR="00A05DE0">
        <w:rPr>
          <w:sz w:val="22"/>
          <w:szCs w:val="22"/>
        </w:rPr>
        <w:t>6</w:t>
      </w:r>
      <w:r w:rsidR="008322F9">
        <w:rPr>
          <w:sz w:val="22"/>
          <w:szCs w:val="22"/>
        </w:rPr>
        <w:t>3,304</w:t>
      </w:r>
      <w:r>
        <w:rPr>
          <w:sz w:val="22"/>
          <w:szCs w:val="22"/>
        </w:rPr>
        <w:t>, followed by</w:t>
      </w:r>
      <w:r w:rsidR="008322F9">
        <w:rPr>
          <w:sz w:val="22"/>
          <w:szCs w:val="22"/>
        </w:rPr>
        <w:t xml:space="preserve"> </w:t>
      </w:r>
      <w:proofErr w:type="spellStart"/>
      <w:r w:rsidR="008322F9">
        <w:rPr>
          <w:sz w:val="22"/>
          <w:szCs w:val="22"/>
        </w:rPr>
        <w:t>Wingecarribee</w:t>
      </w:r>
      <w:proofErr w:type="spellEnd"/>
      <w:r w:rsidR="008322F9">
        <w:rPr>
          <w:sz w:val="22"/>
          <w:szCs w:val="22"/>
        </w:rPr>
        <w:t xml:space="preserve"> with 52,709</w:t>
      </w:r>
      <w:r w:rsidR="006461EC">
        <w:rPr>
          <w:sz w:val="22"/>
          <w:szCs w:val="22"/>
        </w:rPr>
        <w:t xml:space="preserve">, while </w:t>
      </w:r>
      <w:r w:rsidR="00C84EA9">
        <w:rPr>
          <w:sz w:val="22"/>
          <w:szCs w:val="22"/>
        </w:rPr>
        <w:t>Upper Lachlan</w:t>
      </w:r>
      <w:r w:rsidR="006461EC">
        <w:rPr>
          <w:sz w:val="22"/>
          <w:szCs w:val="22"/>
        </w:rPr>
        <w:t xml:space="preserve"> has the smallest population with </w:t>
      </w:r>
      <w:r w:rsidR="00C84EA9">
        <w:rPr>
          <w:sz w:val="22"/>
          <w:szCs w:val="22"/>
        </w:rPr>
        <w:t>8,</w:t>
      </w:r>
      <w:r w:rsidR="008322F9">
        <w:rPr>
          <w:sz w:val="22"/>
          <w:szCs w:val="22"/>
        </w:rPr>
        <w:t>514</w:t>
      </w:r>
      <w:r w:rsidR="006461EC">
        <w:rPr>
          <w:sz w:val="22"/>
          <w:szCs w:val="22"/>
        </w:rPr>
        <w:t>.</w:t>
      </w:r>
    </w:p>
    <w:p w14:paraId="1DFD72FE" w14:textId="62EDA175" w:rsidR="006461EC" w:rsidRPr="00356648" w:rsidRDefault="00C90DC8" w:rsidP="006461EC">
      <w:pPr>
        <w:pStyle w:val="ListParagraph"/>
        <w:numPr>
          <w:ilvl w:val="0"/>
          <w:numId w:val="14"/>
        </w:numPr>
        <w:rPr>
          <w:sz w:val="22"/>
          <w:szCs w:val="22"/>
        </w:rPr>
      </w:pPr>
      <w:r>
        <w:rPr>
          <w:sz w:val="22"/>
        </w:rPr>
        <w:t xml:space="preserve">The Department of </w:t>
      </w:r>
      <w:r w:rsidR="006461EC" w:rsidRPr="00600200">
        <w:rPr>
          <w:sz w:val="22"/>
        </w:rPr>
        <w:t>Planning</w:t>
      </w:r>
      <w:r>
        <w:rPr>
          <w:sz w:val="22"/>
        </w:rPr>
        <w:t xml:space="preserve"> and Environment</w:t>
      </w:r>
      <w:r w:rsidR="006461EC" w:rsidRPr="00600200">
        <w:rPr>
          <w:sz w:val="22"/>
        </w:rPr>
        <w:t xml:space="preserve"> have prepared demographic information on every LGA in the region.  Their projections indicate that </w:t>
      </w:r>
      <w:r w:rsidR="006461EC">
        <w:rPr>
          <w:sz w:val="22"/>
        </w:rPr>
        <w:t>all</w:t>
      </w:r>
      <w:r w:rsidR="006461EC" w:rsidRPr="00600200">
        <w:rPr>
          <w:sz w:val="22"/>
        </w:rPr>
        <w:t xml:space="preserve"> the LGAs in the region are anticipated to increase in population to 20</w:t>
      </w:r>
      <w:r w:rsidR="006461EC">
        <w:rPr>
          <w:sz w:val="22"/>
        </w:rPr>
        <w:t>41</w:t>
      </w:r>
      <w:r w:rsidR="001E227E">
        <w:rPr>
          <w:sz w:val="22"/>
        </w:rPr>
        <w:t xml:space="preserve">.  </w:t>
      </w:r>
      <w:r w:rsidR="00F57600">
        <w:rPr>
          <w:sz w:val="22"/>
        </w:rPr>
        <w:t xml:space="preserve">The Department of </w:t>
      </w:r>
      <w:r w:rsidR="001E227E">
        <w:rPr>
          <w:sz w:val="22"/>
        </w:rPr>
        <w:t xml:space="preserve">Planning </w:t>
      </w:r>
      <w:r w:rsidR="00F57600">
        <w:rPr>
          <w:sz w:val="22"/>
        </w:rPr>
        <w:t xml:space="preserve">and Environment </w:t>
      </w:r>
      <w:r w:rsidR="001E227E">
        <w:rPr>
          <w:sz w:val="22"/>
        </w:rPr>
        <w:t>forecast</w:t>
      </w:r>
      <w:r w:rsidR="006461EC">
        <w:rPr>
          <w:sz w:val="22"/>
        </w:rPr>
        <w:t xml:space="preserve"> a stronger growth rate in </w:t>
      </w:r>
      <w:r w:rsidR="001E227E">
        <w:rPr>
          <w:sz w:val="22"/>
        </w:rPr>
        <w:t>Queanbeyan-</w:t>
      </w:r>
      <w:proofErr w:type="spellStart"/>
      <w:r w:rsidR="001E227E">
        <w:rPr>
          <w:sz w:val="22"/>
        </w:rPr>
        <w:t>Palerang</w:t>
      </w:r>
      <w:proofErr w:type="spellEnd"/>
      <w:r w:rsidR="001E227E">
        <w:rPr>
          <w:sz w:val="22"/>
        </w:rPr>
        <w:t xml:space="preserve">, </w:t>
      </w:r>
      <w:proofErr w:type="spellStart"/>
      <w:r w:rsidR="001E227E">
        <w:rPr>
          <w:sz w:val="22"/>
        </w:rPr>
        <w:t>Wingecarribee</w:t>
      </w:r>
      <w:proofErr w:type="spellEnd"/>
      <w:r w:rsidR="001E227E">
        <w:rPr>
          <w:sz w:val="22"/>
        </w:rPr>
        <w:t xml:space="preserve"> and Goulburn-</w:t>
      </w:r>
      <w:proofErr w:type="spellStart"/>
      <w:r w:rsidR="001E227E">
        <w:rPr>
          <w:sz w:val="22"/>
        </w:rPr>
        <w:t>Mulwaree</w:t>
      </w:r>
      <w:proofErr w:type="spellEnd"/>
      <w:r w:rsidR="001E227E">
        <w:rPr>
          <w:sz w:val="22"/>
        </w:rPr>
        <w:t xml:space="preserve"> </w:t>
      </w:r>
      <w:r w:rsidR="006461EC">
        <w:rPr>
          <w:sz w:val="22"/>
        </w:rPr>
        <w:t>than the NSW average of 0.95% per annum</w:t>
      </w:r>
      <w:r w:rsidR="001E227E">
        <w:rPr>
          <w:sz w:val="22"/>
        </w:rPr>
        <w:t xml:space="preserve"> and project</w:t>
      </w:r>
      <w:r w:rsidR="006461EC">
        <w:rPr>
          <w:sz w:val="22"/>
        </w:rPr>
        <w:t xml:space="preserve"> the strongest proportional population growth in </w:t>
      </w:r>
      <w:proofErr w:type="spellStart"/>
      <w:r w:rsidR="001E227E">
        <w:rPr>
          <w:sz w:val="22"/>
        </w:rPr>
        <w:t>Wingecarribee</w:t>
      </w:r>
      <w:proofErr w:type="spellEnd"/>
      <w:r w:rsidR="001E227E">
        <w:rPr>
          <w:sz w:val="22"/>
        </w:rPr>
        <w:t>,</w:t>
      </w:r>
      <w:r w:rsidR="006461EC">
        <w:rPr>
          <w:sz w:val="22"/>
        </w:rPr>
        <w:t xml:space="preserve"> with an annual growth rate of 1.</w:t>
      </w:r>
      <w:r w:rsidR="001E227E">
        <w:rPr>
          <w:sz w:val="22"/>
        </w:rPr>
        <w:t>54</w:t>
      </w:r>
      <w:r w:rsidR="006461EC">
        <w:rPr>
          <w:sz w:val="22"/>
        </w:rPr>
        <w:t xml:space="preserve">%.  </w:t>
      </w:r>
    </w:p>
    <w:p w14:paraId="1F31329F" w14:textId="77777777" w:rsidR="006461EC" w:rsidRDefault="006461EC" w:rsidP="006461EC">
      <w:pPr>
        <w:pStyle w:val="ListParagraph"/>
        <w:numPr>
          <w:ilvl w:val="0"/>
          <w:numId w:val="14"/>
        </w:numPr>
        <w:rPr>
          <w:sz w:val="22"/>
          <w:szCs w:val="22"/>
        </w:rPr>
      </w:pPr>
      <w:r>
        <w:rPr>
          <w:sz w:val="22"/>
          <w:szCs w:val="22"/>
        </w:rPr>
        <w:t xml:space="preserve">The table below shows the population change for each </w:t>
      </w:r>
      <w:r w:rsidR="001E227E">
        <w:rPr>
          <w:sz w:val="22"/>
          <w:szCs w:val="22"/>
        </w:rPr>
        <w:t xml:space="preserve">South and East Tablelands </w:t>
      </w:r>
      <w:r>
        <w:rPr>
          <w:sz w:val="22"/>
          <w:szCs w:val="22"/>
        </w:rPr>
        <w:t>LGA and the region as a whole</w:t>
      </w:r>
      <w:r w:rsidR="008D5592">
        <w:rPr>
          <w:sz w:val="22"/>
          <w:szCs w:val="22"/>
        </w:rPr>
        <w:t>, from 2011 to 2016 then to 2021</w:t>
      </w:r>
      <w:r w:rsidR="00903E99">
        <w:rPr>
          <w:sz w:val="22"/>
          <w:szCs w:val="22"/>
        </w:rPr>
        <w:t>, using ABS Census data</w:t>
      </w:r>
      <w:r>
        <w:rPr>
          <w:sz w:val="22"/>
          <w:szCs w:val="22"/>
        </w:rPr>
        <w:t>.</w:t>
      </w:r>
    </w:p>
    <w:p w14:paraId="3D6FC804" w14:textId="77777777" w:rsidR="006461EC" w:rsidRDefault="006461EC" w:rsidP="006461EC">
      <w:pPr>
        <w:spacing w:before="0" w:after="0"/>
        <w:rPr>
          <w:sz w:val="22"/>
          <w:szCs w:val="22"/>
        </w:rPr>
      </w:pPr>
    </w:p>
    <w:p w14:paraId="04591B85" w14:textId="77777777" w:rsidR="006461EC" w:rsidRDefault="00142AB5" w:rsidP="00ED2E51">
      <w:pPr>
        <w:spacing w:before="0" w:after="0"/>
        <w:ind w:firstLine="360"/>
        <w:rPr>
          <w:sz w:val="22"/>
          <w:szCs w:val="22"/>
        </w:rPr>
      </w:pPr>
      <w:r w:rsidRPr="00142AB5">
        <w:rPr>
          <w:noProof/>
        </w:rPr>
        <w:lastRenderedPageBreak/>
        <w:drawing>
          <wp:inline distT="0" distB="0" distL="0" distR="0" wp14:anchorId="51E46879" wp14:editId="4288D3FB">
            <wp:extent cx="5019675" cy="2486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2486025"/>
                    </a:xfrm>
                    <a:prstGeom prst="rect">
                      <a:avLst/>
                    </a:prstGeom>
                    <a:noFill/>
                    <a:ln>
                      <a:noFill/>
                    </a:ln>
                  </pic:spPr>
                </pic:pic>
              </a:graphicData>
            </a:graphic>
          </wp:inline>
        </w:drawing>
      </w:r>
    </w:p>
    <w:p w14:paraId="69817D87" w14:textId="77777777" w:rsidR="00356D66" w:rsidRDefault="00356D66" w:rsidP="008D5592">
      <w:pPr>
        <w:spacing w:before="0" w:after="0"/>
        <w:rPr>
          <w:sz w:val="22"/>
          <w:szCs w:val="22"/>
        </w:rPr>
      </w:pPr>
    </w:p>
    <w:p w14:paraId="27B9976F" w14:textId="77777777" w:rsidR="008D5592" w:rsidRPr="008D5592" w:rsidRDefault="008D5592" w:rsidP="008D5592">
      <w:pPr>
        <w:spacing w:before="0" w:after="0"/>
        <w:rPr>
          <w:sz w:val="22"/>
          <w:szCs w:val="22"/>
        </w:rPr>
      </w:pPr>
    </w:p>
    <w:p w14:paraId="15F34CAD" w14:textId="77777777" w:rsidR="00555F5C" w:rsidRPr="00B61809" w:rsidRDefault="00555F5C" w:rsidP="00B61809">
      <w:pPr>
        <w:spacing w:before="0" w:after="0"/>
        <w:ind w:left="360"/>
        <w:rPr>
          <w:b/>
          <w:color w:val="008000"/>
          <w:sz w:val="20"/>
          <w:szCs w:val="20"/>
        </w:rPr>
      </w:pPr>
    </w:p>
    <w:p w14:paraId="31D14A09" w14:textId="77777777" w:rsidR="00555F5C" w:rsidRDefault="00555F5C" w:rsidP="00555F5C">
      <w:pPr>
        <w:rPr>
          <w:b/>
          <w:color w:val="008000"/>
          <w:sz w:val="32"/>
        </w:rPr>
      </w:pPr>
      <w:r w:rsidRPr="000D66D0">
        <w:rPr>
          <w:b/>
          <w:color w:val="008000"/>
          <w:sz w:val="32"/>
        </w:rPr>
        <w:t>Age</w:t>
      </w:r>
    </w:p>
    <w:p w14:paraId="45121628" w14:textId="77777777" w:rsidR="00381D5C" w:rsidRDefault="00381D5C" w:rsidP="00381D5C">
      <w:pPr>
        <w:numPr>
          <w:ilvl w:val="0"/>
          <w:numId w:val="19"/>
        </w:numPr>
        <w:spacing w:before="0" w:after="0"/>
        <w:rPr>
          <w:sz w:val="22"/>
          <w:szCs w:val="22"/>
        </w:rPr>
      </w:pPr>
      <w:r>
        <w:rPr>
          <w:sz w:val="22"/>
          <w:szCs w:val="22"/>
        </w:rPr>
        <w:t>The age profile of the region and particularly each LGA will impact on housing need and demand, including number of bedrooms, affordability, location and dwelling type.</w:t>
      </w:r>
    </w:p>
    <w:p w14:paraId="61E8E308" w14:textId="77777777" w:rsidR="0043796A" w:rsidRDefault="0043796A" w:rsidP="0043796A">
      <w:pPr>
        <w:numPr>
          <w:ilvl w:val="0"/>
          <w:numId w:val="19"/>
        </w:numPr>
        <w:spacing w:before="0" w:after="0"/>
        <w:rPr>
          <w:sz w:val="22"/>
          <w:szCs w:val="22"/>
        </w:rPr>
      </w:pPr>
      <w:r w:rsidRPr="00175B16">
        <w:rPr>
          <w:sz w:val="22"/>
          <w:szCs w:val="22"/>
        </w:rPr>
        <w:t xml:space="preserve">The median age of the population of the </w:t>
      </w:r>
      <w:r w:rsidR="00A33E02">
        <w:rPr>
          <w:sz w:val="22"/>
          <w:szCs w:val="22"/>
        </w:rPr>
        <w:t>South and East Tablelands</w:t>
      </w:r>
      <w:r>
        <w:rPr>
          <w:sz w:val="22"/>
          <w:szCs w:val="22"/>
        </w:rPr>
        <w:t xml:space="preserve"> </w:t>
      </w:r>
      <w:r w:rsidRPr="00175B16">
        <w:rPr>
          <w:sz w:val="22"/>
          <w:szCs w:val="22"/>
        </w:rPr>
        <w:t xml:space="preserve">LGAs </w:t>
      </w:r>
      <w:r>
        <w:rPr>
          <w:sz w:val="22"/>
          <w:szCs w:val="22"/>
        </w:rPr>
        <w:t xml:space="preserve">at the 2021 Census </w:t>
      </w:r>
      <w:r w:rsidRPr="00175B16">
        <w:rPr>
          <w:sz w:val="22"/>
          <w:szCs w:val="22"/>
        </w:rPr>
        <w:t xml:space="preserve">ranges between </w:t>
      </w:r>
      <w:r>
        <w:rPr>
          <w:sz w:val="22"/>
          <w:szCs w:val="22"/>
        </w:rPr>
        <w:t>3</w:t>
      </w:r>
      <w:r w:rsidR="00A33E02">
        <w:rPr>
          <w:sz w:val="22"/>
          <w:szCs w:val="22"/>
        </w:rPr>
        <w:t>8</w:t>
      </w:r>
      <w:r w:rsidRPr="00175B16">
        <w:rPr>
          <w:sz w:val="22"/>
          <w:szCs w:val="22"/>
        </w:rPr>
        <w:t xml:space="preserve"> years (</w:t>
      </w:r>
      <w:r w:rsidR="00A33E02">
        <w:rPr>
          <w:sz w:val="22"/>
          <w:szCs w:val="22"/>
        </w:rPr>
        <w:t>Queanbeyan-</w:t>
      </w:r>
      <w:proofErr w:type="spellStart"/>
      <w:r w:rsidR="00A33E02">
        <w:rPr>
          <w:sz w:val="22"/>
          <w:szCs w:val="22"/>
        </w:rPr>
        <w:t>Palerang</w:t>
      </w:r>
      <w:proofErr w:type="spellEnd"/>
      <w:r w:rsidRPr="00175B16">
        <w:rPr>
          <w:sz w:val="22"/>
          <w:szCs w:val="22"/>
        </w:rPr>
        <w:t xml:space="preserve">) and </w:t>
      </w:r>
      <w:r w:rsidR="00A33E02">
        <w:rPr>
          <w:sz w:val="22"/>
          <w:szCs w:val="22"/>
        </w:rPr>
        <w:t>54</w:t>
      </w:r>
      <w:r w:rsidRPr="00175B16">
        <w:rPr>
          <w:sz w:val="22"/>
          <w:szCs w:val="22"/>
        </w:rPr>
        <w:t xml:space="preserve"> (</w:t>
      </w:r>
      <w:r w:rsidR="00A33E02">
        <w:rPr>
          <w:sz w:val="22"/>
          <w:szCs w:val="22"/>
        </w:rPr>
        <w:t>Eurobodalla</w:t>
      </w:r>
      <w:r w:rsidRPr="00175B16">
        <w:rPr>
          <w:sz w:val="22"/>
          <w:szCs w:val="22"/>
        </w:rPr>
        <w:t xml:space="preserve">).  </w:t>
      </w:r>
      <w:r>
        <w:rPr>
          <w:sz w:val="22"/>
          <w:szCs w:val="22"/>
        </w:rPr>
        <w:t xml:space="preserve">This compares to </w:t>
      </w:r>
      <w:r w:rsidRPr="003B1DA2">
        <w:rPr>
          <w:sz w:val="22"/>
          <w:szCs w:val="22"/>
        </w:rPr>
        <w:t xml:space="preserve">the median age for the Rest of NSW (excluding Sydney) of 43 years.  </w:t>
      </w:r>
      <w:r w:rsidR="00A33E02" w:rsidRPr="003B1DA2">
        <w:rPr>
          <w:sz w:val="22"/>
          <w:szCs w:val="22"/>
        </w:rPr>
        <w:t>T</w:t>
      </w:r>
      <w:r w:rsidR="00A33E02">
        <w:rPr>
          <w:sz w:val="22"/>
          <w:szCs w:val="22"/>
        </w:rPr>
        <w:t>he big range in median age indicates that there are very different age profiles within the region.</w:t>
      </w:r>
    </w:p>
    <w:p w14:paraId="3E5A9654" w14:textId="77777777" w:rsidR="00A33E02" w:rsidRDefault="00E21A7F" w:rsidP="00E21A7F">
      <w:pPr>
        <w:numPr>
          <w:ilvl w:val="1"/>
          <w:numId w:val="19"/>
        </w:numPr>
        <w:spacing w:before="0" w:after="0"/>
        <w:rPr>
          <w:sz w:val="22"/>
          <w:szCs w:val="22"/>
        </w:rPr>
      </w:pPr>
      <w:r>
        <w:rPr>
          <w:sz w:val="22"/>
          <w:szCs w:val="22"/>
        </w:rPr>
        <w:t>Bega Valley, Eurobodalla and Upper Lachlan have higher proportions of residents aged over 55 and lower proportions of younger residents.</w:t>
      </w:r>
    </w:p>
    <w:p w14:paraId="3445E7FD" w14:textId="77777777" w:rsidR="00E21A7F" w:rsidRDefault="00E21A7F" w:rsidP="00E21A7F">
      <w:pPr>
        <w:numPr>
          <w:ilvl w:val="1"/>
          <w:numId w:val="19"/>
        </w:numPr>
        <w:spacing w:before="0" w:after="0"/>
        <w:rPr>
          <w:sz w:val="22"/>
          <w:szCs w:val="22"/>
        </w:rPr>
      </w:pPr>
      <w:proofErr w:type="spellStart"/>
      <w:r>
        <w:rPr>
          <w:sz w:val="22"/>
          <w:szCs w:val="22"/>
        </w:rPr>
        <w:t>Wingecarribee</w:t>
      </w:r>
      <w:proofErr w:type="spellEnd"/>
      <w:r>
        <w:rPr>
          <w:sz w:val="22"/>
          <w:szCs w:val="22"/>
        </w:rPr>
        <w:t xml:space="preserve"> is similar, in that there are higher proportions of residents aged over 65, but dissimilar in that there are a higher proportion of 15-19 year </w:t>
      </w:r>
      <w:proofErr w:type="spellStart"/>
      <w:r>
        <w:rPr>
          <w:sz w:val="22"/>
          <w:szCs w:val="22"/>
        </w:rPr>
        <w:t>olds</w:t>
      </w:r>
      <w:proofErr w:type="spellEnd"/>
      <w:r>
        <w:rPr>
          <w:sz w:val="22"/>
          <w:szCs w:val="22"/>
        </w:rPr>
        <w:t>.</w:t>
      </w:r>
    </w:p>
    <w:p w14:paraId="78E195B8" w14:textId="77777777" w:rsidR="0095329E" w:rsidRDefault="0095329E" w:rsidP="00E21A7F">
      <w:pPr>
        <w:numPr>
          <w:ilvl w:val="1"/>
          <w:numId w:val="19"/>
        </w:numPr>
        <w:spacing w:before="0" w:after="0"/>
        <w:rPr>
          <w:sz w:val="22"/>
          <w:szCs w:val="22"/>
        </w:rPr>
      </w:pPr>
      <w:r>
        <w:rPr>
          <w:sz w:val="22"/>
          <w:szCs w:val="22"/>
        </w:rPr>
        <w:t>Hilltops has higher proportions of residents aged under 20 and over 75.</w:t>
      </w:r>
    </w:p>
    <w:p w14:paraId="0139B89F" w14:textId="77777777" w:rsidR="0095329E" w:rsidRDefault="00EF19F8" w:rsidP="00E21A7F">
      <w:pPr>
        <w:numPr>
          <w:ilvl w:val="1"/>
          <w:numId w:val="19"/>
        </w:numPr>
        <w:spacing w:before="0" w:after="0"/>
        <w:rPr>
          <w:sz w:val="22"/>
          <w:szCs w:val="22"/>
        </w:rPr>
      </w:pPr>
      <w:r>
        <w:rPr>
          <w:sz w:val="22"/>
          <w:szCs w:val="22"/>
        </w:rPr>
        <w:t>Goulburn-</w:t>
      </w:r>
      <w:proofErr w:type="spellStart"/>
      <w:r>
        <w:rPr>
          <w:sz w:val="22"/>
          <w:szCs w:val="22"/>
        </w:rPr>
        <w:t>Mulwaree</w:t>
      </w:r>
      <w:proofErr w:type="spellEnd"/>
      <w:r>
        <w:rPr>
          <w:sz w:val="22"/>
          <w:szCs w:val="22"/>
        </w:rPr>
        <w:t xml:space="preserve"> and Queanbeyan-</w:t>
      </w:r>
      <w:proofErr w:type="spellStart"/>
      <w:r>
        <w:rPr>
          <w:sz w:val="22"/>
          <w:szCs w:val="22"/>
        </w:rPr>
        <w:t>Palerang</w:t>
      </w:r>
      <w:proofErr w:type="spellEnd"/>
      <w:r>
        <w:rPr>
          <w:sz w:val="22"/>
          <w:szCs w:val="22"/>
        </w:rPr>
        <w:t xml:space="preserve"> have higher proportions of residents aged under 55.</w:t>
      </w:r>
    </w:p>
    <w:p w14:paraId="1E6C5A25" w14:textId="77777777" w:rsidR="00EF19F8" w:rsidRDefault="00EF19F8" w:rsidP="00E21A7F">
      <w:pPr>
        <w:numPr>
          <w:ilvl w:val="1"/>
          <w:numId w:val="19"/>
        </w:numPr>
        <w:spacing w:before="0" w:after="0"/>
        <w:rPr>
          <w:sz w:val="22"/>
          <w:szCs w:val="22"/>
        </w:rPr>
      </w:pPr>
      <w:r>
        <w:rPr>
          <w:sz w:val="22"/>
          <w:szCs w:val="22"/>
        </w:rPr>
        <w:t>Snowy-Monaro has higher proportions of residents aged between 20 and 64.</w:t>
      </w:r>
    </w:p>
    <w:p w14:paraId="3DCB01A1" w14:textId="77777777" w:rsidR="00EF19F8" w:rsidRDefault="00EF19F8" w:rsidP="00E21A7F">
      <w:pPr>
        <w:numPr>
          <w:ilvl w:val="1"/>
          <w:numId w:val="19"/>
        </w:numPr>
        <w:spacing w:before="0" w:after="0"/>
        <w:rPr>
          <w:sz w:val="22"/>
          <w:szCs w:val="22"/>
        </w:rPr>
      </w:pPr>
      <w:r>
        <w:rPr>
          <w:sz w:val="22"/>
          <w:szCs w:val="22"/>
        </w:rPr>
        <w:t xml:space="preserve">Upper Lachlan has higher proportions of those aged under 14 and over </w:t>
      </w:r>
      <w:r w:rsidR="00BB6DB7">
        <w:rPr>
          <w:sz w:val="22"/>
          <w:szCs w:val="22"/>
        </w:rPr>
        <w:t>45.</w:t>
      </w:r>
    </w:p>
    <w:p w14:paraId="300A47B5" w14:textId="77777777" w:rsidR="00BB6DB7" w:rsidRDefault="008A530D" w:rsidP="00E21A7F">
      <w:pPr>
        <w:numPr>
          <w:ilvl w:val="1"/>
          <w:numId w:val="19"/>
        </w:numPr>
        <w:spacing w:before="0" w:after="0"/>
        <w:rPr>
          <w:sz w:val="22"/>
          <w:szCs w:val="22"/>
        </w:rPr>
      </w:pPr>
      <w:r>
        <w:rPr>
          <w:sz w:val="22"/>
          <w:szCs w:val="22"/>
        </w:rPr>
        <w:t xml:space="preserve">Yass Valley has higher proportions of residents aged under </w:t>
      </w:r>
      <w:r w:rsidR="0092477C">
        <w:rPr>
          <w:sz w:val="22"/>
          <w:szCs w:val="22"/>
        </w:rPr>
        <w:t>19 and between 35 and 54.</w:t>
      </w:r>
    </w:p>
    <w:p w14:paraId="156DAE31" w14:textId="77777777" w:rsidR="0043796A" w:rsidRDefault="00D34538" w:rsidP="0043796A">
      <w:pPr>
        <w:numPr>
          <w:ilvl w:val="0"/>
          <w:numId w:val="19"/>
        </w:numPr>
        <w:spacing w:before="0" w:after="0"/>
        <w:rPr>
          <w:sz w:val="22"/>
          <w:szCs w:val="22"/>
        </w:rPr>
      </w:pPr>
      <w:r>
        <w:rPr>
          <w:sz w:val="22"/>
          <w:szCs w:val="22"/>
        </w:rPr>
        <w:t>All the South and East Tablelands LGAs age profiles differ from the average for the Rest of NSW, which is evident in the table below</w:t>
      </w:r>
      <w:r w:rsidR="0043796A">
        <w:rPr>
          <w:sz w:val="22"/>
          <w:szCs w:val="22"/>
        </w:rPr>
        <w:t>.</w:t>
      </w:r>
    </w:p>
    <w:p w14:paraId="2BC05390" w14:textId="77777777" w:rsidR="00D34538" w:rsidRDefault="00D34538" w:rsidP="00D34538">
      <w:pPr>
        <w:spacing w:before="0" w:after="0"/>
        <w:rPr>
          <w:sz w:val="22"/>
          <w:szCs w:val="22"/>
        </w:rPr>
      </w:pPr>
    </w:p>
    <w:p w14:paraId="0C5272EA" w14:textId="77777777" w:rsidR="00D34538" w:rsidRDefault="00D34538" w:rsidP="00D34538">
      <w:pPr>
        <w:spacing w:before="0" w:after="0"/>
        <w:rPr>
          <w:sz w:val="22"/>
          <w:szCs w:val="22"/>
        </w:rPr>
      </w:pPr>
    </w:p>
    <w:p w14:paraId="73D6F612" w14:textId="77777777" w:rsidR="00872E5B" w:rsidRDefault="00872E5B" w:rsidP="00D34538">
      <w:pPr>
        <w:spacing w:before="0" w:after="0"/>
        <w:rPr>
          <w:sz w:val="22"/>
          <w:szCs w:val="22"/>
        </w:rPr>
      </w:pPr>
    </w:p>
    <w:p w14:paraId="520F25F1" w14:textId="0BCA882E" w:rsidR="00D34538" w:rsidRDefault="00D34538" w:rsidP="00D34538">
      <w:pPr>
        <w:spacing w:before="0" w:after="0"/>
        <w:rPr>
          <w:sz w:val="22"/>
          <w:szCs w:val="22"/>
        </w:rPr>
      </w:pPr>
      <w:r>
        <w:rPr>
          <w:sz w:val="22"/>
          <w:szCs w:val="22"/>
        </w:rPr>
        <w:lastRenderedPageBreak/>
        <w:t>Proportion of population in each age cohort at the 2021 Census for South and East Tablelands</w:t>
      </w:r>
    </w:p>
    <w:p w14:paraId="2A2F6B77" w14:textId="77777777" w:rsidR="00D34538" w:rsidRDefault="005E5BE4" w:rsidP="00D34538">
      <w:pPr>
        <w:spacing w:before="0" w:after="0"/>
        <w:rPr>
          <w:sz w:val="22"/>
          <w:szCs w:val="22"/>
        </w:rPr>
      </w:pPr>
      <w:r w:rsidRPr="005E5BE4">
        <w:rPr>
          <w:noProof/>
        </w:rPr>
        <w:drawing>
          <wp:inline distT="0" distB="0" distL="0" distR="0" wp14:anchorId="16391EDA" wp14:editId="28613C6E">
            <wp:extent cx="5984180" cy="1962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7762" cy="1963325"/>
                    </a:xfrm>
                    <a:prstGeom prst="rect">
                      <a:avLst/>
                    </a:prstGeom>
                    <a:noFill/>
                    <a:ln>
                      <a:noFill/>
                    </a:ln>
                  </pic:spPr>
                </pic:pic>
              </a:graphicData>
            </a:graphic>
          </wp:inline>
        </w:drawing>
      </w:r>
    </w:p>
    <w:p w14:paraId="744D3E04" w14:textId="77777777" w:rsidR="00D34538" w:rsidRDefault="00D34538" w:rsidP="00D34538">
      <w:pPr>
        <w:spacing w:before="0" w:after="0"/>
        <w:rPr>
          <w:sz w:val="22"/>
          <w:szCs w:val="22"/>
        </w:rPr>
      </w:pPr>
    </w:p>
    <w:p w14:paraId="08D1747A" w14:textId="655DF3A3" w:rsidR="0043796A" w:rsidRPr="001F4DBF" w:rsidRDefault="0043796A" w:rsidP="00180C15">
      <w:pPr>
        <w:pStyle w:val="ListParagraph"/>
        <w:numPr>
          <w:ilvl w:val="0"/>
          <w:numId w:val="29"/>
        </w:numPr>
        <w:spacing w:before="0" w:after="0"/>
        <w:rPr>
          <w:sz w:val="22"/>
          <w:szCs w:val="22"/>
        </w:rPr>
      </w:pPr>
      <w:r w:rsidRPr="001F4DBF">
        <w:rPr>
          <w:sz w:val="22"/>
          <w:szCs w:val="22"/>
        </w:rPr>
        <w:t xml:space="preserve">The graph below show the proportion of the population in each key age cohort in </w:t>
      </w:r>
      <w:r w:rsidR="00D34538" w:rsidRPr="001F4DBF">
        <w:rPr>
          <w:sz w:val="22"/>
          <w:szCs w:val="22"/>
        </w:rPr>
        <w:t>the South and East Tablelands.</w:t>
      </w:r>
    </w:p>
    <w:p w14:paraId="666E2A82" w14:textId="77777777" w:rsidR="0043796A" w:rsidRDefault="0043796A" w:rsidP="0043796A">
      <w:pPr>
        <w:spacing w:before="0" w:after="0"/>
        <w:rPr>
          <w:sz w:val="22"/>
          <w:szCs w:val="22"/>
        </w:rPr>
      </w:pPr>
    </w:p>
    <w:p w14:paraId="2B61B44A" w14:textId="77777777" w:rsidR="0043796A" w:rsidRDefault="0043796A" w:rsidP="0043796A">
      <w:pPr>
        <w:spacing w:before="0" w:after="0"/>
        <w:rPr>
          <w:sz w:val="22"/>
          <w:szCs w:val="22"/>
        </w:rPr>
      </w:pPr>
      <w:r>
        <w:rPr>
          <w:noProof/>
          <w:sz w:val="22"/>
          <w:szCs w:val="22"/>
        </w:rPr>
        <w:drawing>
          <wp:inline distT="0" distB="0" distL="0" distR="0" wp14:anchorId="35581A62" wp14:editId="0FF8F3F3">
            <wp:extent cx="6054090" cy="360685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5145" cy="3619400"/>
                    </a:xfrm>
                    <a:prstGeom prst="rect">
                      <a:avLst/>
                    </a:prstGeom>
                    <a:noFill/>
                  </pic:spPr>
                </pic:pic>
              </a:graphicData>
            </a:graphic>
          </wp:inline>
        </w:drawing>
      </w:r>
    </w:p>
    <w:p w14:paraId="425FA603" w14:textId="77777777" w:rsidR="0043796A" w:rsidRDefault="0043796A" w:rsidP="0043796A">
      <w:pPr>
        <w:spacing w:before="0" w:after="0"/>
        <w:rPr>
          <w:sz w:val="22"/>
          <w:szCs w:val="22"/>
        </w:rPr>
      </w:pPr>
    </w:p>
    <w:p w14:paraId="6A7094A2" w14:textId="167986B2" w:rsidR="00391132" w:rsidRPr="00175B16" w:rsidRDefault="001F4DBF" w:rsidP="00894C52">
      <w:pPr>
        <w:numPr>
          <w:ilvl w:val="0"/>
          <w:numId w:val="19"/>
        </w:numPr>
        <w:tabs>
          <w:tab w:val="clear" w:pos="720"/>
          <w:tab w:val="num" w:pos="360"/>
        </w:tabs>
        <w:spacing w:before="0" w:after="0"/>
        <w:ind w:left="360"/>
        <w:rPr>
          <w:sz w:val="22"/>
          <w:szCs w:val="22"/>
        </w:rPr>
      </w:pPr>
      <w:r>
        <w:rPr>
          <w:sz w:val="22"/>
          <w:szCs w:val="22"/>
        </w:rPr>
        <w:t xml:space="preserve">The Department of </w:t>
      </w:r>
      <w:r w:rsidR="00391132">
        <w:rPr>
          <w:sz w:val="22"/>
          <w:szCs w:val="22"/>
        </w:rPr>
        <w:t xml:space="preserve">Planning </w:t>
      </w:r>
      <w:r>
        <w:rPr>
          <w:sz w:val="22"/>
          <w:szCs w:val="22"/>
        </w:rPr>
        <w:t>and Environment</w:t>
      </w:r>
      <w:r w:rsidR="00391132" w:rsidRPr="00175B16">
        <w:rPr>
          <w:sz w:val="22"/>
          <w:szCs w:val="22"/>
        </w:rPr>
        <w:t xml:space="preserve"> forecast increase</w:t>
      </w:r>
      <w:r w:rsidR="00391132">
        <w:rPr>
          <w:sz w:val="22"/>
          <w:szCs w:val="22"/>
        </w:rPr>
        <w:t>s</w:t>
      </w:r>
      <w:r w:rsidR="00391132" w:rsidRPr="00175B16">
        <w:rPr>
          <w:sz w:val="22"/>
          <w:szCs w:val="22"/>
        </w:rPr>
        <w:t xml:space="preserve"> in residents aged over 65 to 20</w:t>
      </w:r>
      <w:r w:rsidR="00391132">
        <w:rPr>
          <w:sz w:val="22"/>
          <w:szCs w:val="22"/>
        </w:rPr>
        <w:t xml:space="preserve">41 in every </w:t>
      </w:r>
      <w:r w:rsidR="00B8491B">
        <w:rPr>
          <w:sz w:val="22"/>
          <w:szCs w:val="22"/>
        </w:rPr>
        <w:t>South and East Tablelands</w:t>
      </w:r>
      <w:r w:rsidR="00391132">
        <w:rPr>
          <w:sz w:val="22"/>
          <w:szCs w:val="22"/>
        </w:rPr>
        <w:t xml:space="preserve"> LGA, as well as an increase in younger age groups in</w:t>
      </w:r>
      <w:r w:rsidR="00B8491B">
        <w:rPr>
          <w:sz w:val="22"/>
          <w:szCs w:val="22"/>
        </w:rPr>
        <w:t xml:space="preserve"> Goulburn-</w:t>
      </w:r>
      <w:proofErr w:type="spellStart"/>
      <w:r w:rsidR="00B8491B">
        <w:rPr>
          <w:sz w:val="22"/>
          <w:szCs w:val="22"/>
        </w:rPr>
        <w:t>Mulwaree</w:t>
      </w:r>
      <w:proofErr w:type="spellEnd"/>
      <w:r w:rsidR="00B8491B">
        <w:rPr>
          <w:sz w:val="22"/>
          <w:szCs w:val="22"/>
        </w:rPr>
        <w:t>, Queanbeyan-</w:t>
      </w:r>
      <w:proofErr w:type="spellStart"/>
      <w:r w:rsidR="00B8491B">
        <w:rPr>
          <w:sz w:val="22"/>
          <w:szCs w:val="22"/>
        </w:rPr>
        <w:t>Palerang</w:t>
      </w:r>
      <w:proofErr w:type="spellEnd"/>
      <w:r w:rsidR="00B8491B">
        <w:rPr>
          <w:sz w:val="22"/>
          <w:szCs w:val="22"/>
        </w:rPr>
        <w:t xml:space="preserve"> and Upper Lachlan</w:t>
      </w:r>
      <w:r w:rsidR="00391132" w:rsidRPr="00175B16">
        <w:rPr>
          <w:sz w:val="22"/>
          <w:szCs w:val="22"/>
        </w:rPr>
        <w:t xml:space="preserve">. </w:t>
      </w:r>
    </w:p>
    <w:p w14:paraId="7C02F8FE" w14:textId="57D07AA1" w:rsidR="00391132" w:rsidRDefault="00391132" w:rsidP="00894C52">
      <w:pPr>
        <w:numPr>
          <w:ilvl w:val="0"/>
          <w:numId w:val="19"/>
        </w:numPr>
        <w:tabs>
          <w:tab w:val="clear" w:pos="720"/>
          <w:tab w:val="num" w:pos="360"/>
        </w:tabs>
        <w:spacing w:before="0" w:after="0"/>
        <w:ind w:left="360"/>
        <w:rPr>
          <w:sz w:val="22"/>
          <w:szCs w:val="22"/>
        </w:rPr>
      </w:pPr>
      <w:r w:rsidRPr="00175B16">
        <w:rPr>
          <w:sz w:val="22"/>
          <w:szCs w:val="22"/>
        </w:rPr>
        <w:t>The diversity of age groups requires a range of different housing to meet the needs of the community throughout the housing life cycle. However</w:t>
      </w:r>
      <w:r w:rsidR="00766BFF">
        <w:rPr>
          <w:sz w:val="22"/>
          <w:szCs w:val="22"/>
        </w:rPr>
        <w:t>,</w:t>
      </w:r>
      <w:r w:rsidRPr="00175B16">
        <w:rPr>
          <w:sz w:val="22"/>
          <w:szCs w:val="22"/>
        </w:rPr>
        <w:t xml:space="preserve"> the higher median age and higher proportions of older age cohorts indicates that there is a need for housing to suit older residents </w:t>
      </w:r>
      <w:r w:rsidR="00B8491B">
        <w:rPr>
          <w:sz w:val="22"/>
          <w:szCs w:val="22"/>
        </w:rPr>
        <w:t xml:space="preserve">most particularly in Bega Valley, </w:t>
      </w:r>
      <w:r w:rsidR="00B8491B">
        <w:rPr>
          <w:sz w:val="22"/>
          <w:szCs w:val="22"/>
        </w:rPr>
        <w:lastRenderedPageBreak/>
        <w:t xml:space="preserve">Eurobodalla and </w:t>
      </w:r>
      <w:proofErr w:type="spellStart"/>
      <w:r w:rsidR="00B8491B">
        <w:rPr>
          <w:sz w:val="22"/>
          <w:szCs w:val="22"/>
        </w:rPr>
        <w:t>Wingecarribee</w:t>
      </w:r>
      <w:proofErr w:type="spellEnd"/>
      <w:r w:rsidRPr="00175B16">
        <w:rPr>
          <w:sz w:val="22"/>
          <w:szCs w:val="22"/>
        </w:rPr>
        <w:t>.</w:t>
      </w:r>
      <w:r w:rsidR="00B8491B">
        <w:rPr>
          <w:sz w:val="22"/>
          <w:szCs w:val="22"/>
        </w:rPr>
        <w:t xml:space="preserve">  Although increasingly this will be an issue for all the South and Eastern Tablelands LGAs.</w:t>
      </w:r>
    </w:p>
    <w:p w14:paraId="191728EE" w14:textId="77777777" w:rsidR="00391132" w:rsidRDefault="00391132" w:rsidP="00894C52">
      <w:pPr>
        <w:numPr>
          <w:ilvl w:val="0"/>
          <w:numId w:val="19"/>
        </w:numPr>
        <w:tabs>
          <w:tab w:val="clear" w:pos="720"/>
          <w:tab w:val="num" w:pos="360"/>
        </w:tabs>
        <w:spacing w:before="0" w:after="0"/>
        <w:ind w:left="360"/>
        <w:rPr>
          <w:sz w:val="22"/>
          <w:szCs w:val="22"/>
        </w:rPr>
      </w:pPr>
      <w:r>
        <w:rPr>
          <w:sz w:val="22"/>
          <w:szCs w:val="22"/>
        </w:rPr>
        <w:t>As the Australian Institute for Health and Welfare (AIHW) note:</w:t>
      </w:r>
    </w:p>
    <w:p w14:paraId="2889E14B" w14:textId="77777777" w:rsidR="00391132" w:rsidRPr="00E67D99" w:rsidRDefault="00391132" w:rsidP="00894C52">
      <w:pPr>
        <w:spacing w:before="0" w:after="0"/>
        <w:ind w:left="36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4C94C1E1" w14:textId="77777777" w:rsidR="00391132" w:rsidRPr="00E67D99" w:rsidRDefault="00391132" w:rsidP="00894C52">
      <w:pPr>
        <w:numPr>
          <w:ilvl w:val="1"/>
          <w:numId w:val="19"/>
        </w:numPr>
        <w:tabs>
          <w:tab w:val="clear" w:pos="1440"/>
          <w:tab w:val="num" w:pos="1080"/>
        </w:tabs>
        <w:spacing w:before="0" w:after="0"/>
        <w:ind w:left="1080"/>
        <w:rPr>
          <w:sz w:val="22"/>
          <w:szCs w:val="22"/>
        </w:rPr>
      </w:pPr>
      <w:r w:rsidRPr="00E67D99">
        <w:rPr>
          <w:sz w:val="22"/>
          <w:szCs w:val="22"/>
        </w:rPr>
        <w:t>the appropriateness and quality of their home (for example, size, layout)</w:t>
      </w:r>
    </w:p>
    <w:p w14:paraId="01DEA118" w14:textId="77777777" w:rsidR="00391132" w:rsidRPr="00E67D99" w:rsidRDefault="00391132" w:rsidP="00894C52">
      <w:pPr>
        <w:numPr>
          <w:ilvl w:val="1"/>
          <w:numId w:val="19"/>
        </w:numPr>
        <w:tabs>
          <w:tab w:val="clear" w:pos="1440"/>
          <w:tab w:val="num" w:pos="1080"/>
        </w:tabs>
        <w:spacing w:before="0" w:after="0"/>
        <w:ind w:left="1080"/>
        <w:rPr>
          <w:sz w:val="22"/>
          <w:szCs w:val="22"/>
        </w:rPr>
      </w:pPr>
      <w:r w:rsidRPr="00E67D99">
        <w:rPr>
          <w:sz w:val="22"/>
          <w:szCs w:val="22"/>
        </w:rPr>
        <w:t>their ability to modify their home to suit their functional requirements</w:t>
      </w:r>
    </w:p>
    <w:p w14:paraId="54D6CCB7" w14:textId="77777777" w:rsidR="00391132" w:rsidRPr="00E67D99" w:rsidRDefault="00391132" w:rsidP="00894C52">
      <w:pPr>
        <w:numPr>
          <w:ilvl w:val="1"/>
          <w:numId w:val="19"/>
        </w:numPr>
        <w:tabs>
          <w:tab w:val="clear" w:pos="1440"/>
          <w:tab w:val="num" w:pos="1080"/>
        </w:tabs>
        <w:spacing w:before="0" w:after="0"/>
        <w:ind w:left="1080"/>
        <w:rPr>
          <w:sz w:val="22"/>
          <w:szCs w:val="22"/>
        </w:rPr>
      </w:pPr>
      <w:r w:rsidRPr="00E67D99">
        <w:rPr>
          <w:sz w:val="22"/>
          <w:szCs w:val="22"/>
        </w:rPr>
        <w:t>the cost and availability of suitable housing</w:t>
      </w:r>
    </w:p>
    <w:p w14:paraId="4F786EC2" w14:textId="77777777" w:rsidR="00391132" w:rsidRPr="00E67D99" w:rsidRDefault="00391132" w:rsidP="00894C52">
      <w:pPr>
        <w:numPr>
          <w:ilvl w:val="1"/>
          <w:numId w:val="19"/>
        </w:numPr>
        <w:tabs>
          <w:tab w:val="clear" w:pos="1440"/>
          <w:tab w:val="num" w:pos="1080"/>
        </w:tabs>
        <w:spacing w:before="0" w:after="0"/>
        <w:ind w:left="1080"/>
        <w:rPr>
          <w:sz w:val="22"/>
          <w:szCs w:val="22"/>
        </w:rPr>
      </w:pPr>
      <w:r w:rsidRPr="00E67D99">
        <w:rPr>
          <w:sz w:val="22"/>
          <w:szCs w:val="22"/>
        </w:rPr>
        <w:t>their need for formal care and assistance</w:t>
      </w:r>
    </w:p>
    <w:p w14:paraId="5A3DF6FF" w14:textId="77777777" w:rsidR="00391132" w:rsidRPr="00E67D99" w:rsidRDefault="00391132" w:rsidP="00894C52">
      <w:pPr>
        <w:numPr>
          <w:ilvl w:val="1"/>
          <w:numId w:val="19"/>
        </w:numPr>
        <w:tabs>
          <w:tab w:val="clear" w:pos="1440"/>
          <w:tab w:val="num" w:pos="1080"/>
        </w:tabs>
        <w:spacing w:before="0" w:after="0"/>
        <w:ind w:left="1080"/>
        <w:rPr>
          <w:sz w:val="22"/>
          <w:szCs w:val="22"/>
        </w:rPr>
      </w:pPr>
      <w:r w:rsidRPr="00E67D99">
        <w:rPr>
          <w:sz w:val="22"/>
          <w:szCs w:val="22"/>
        </w:rPr>
        <w:t xml:space="preserve">their proximity to services and social support.  </w:t>
      </w:r>
    </w:p>
    <w:p w14:paraId="16396B68" w14:textId="499EFA5B" w:rsidR="00391132" w:rsidRPr="00175B16" w:rsidRDefault="00391132" w:rsidP="00894C52">
      <w:pPr>
        <w:numPr>
          <w:ilvl w:val="0"/>
          <w:numId w:val="19"/>
        </w:numPr>
        <w:tabs>
          <w:tab w:val="clear" w:pos="720"/>
          <w:tab w:val="num" w:pos="360"/>
        </w:tabs>
        <w:spacing w:before="0" w:after="0"/>
        <w:ind w:left="36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p>
    <w:p w14:paraId="62F0DBAB" w14:textId="77777777" w:rsidR="000C1D2C" w:rsidRDefault="000C1D2C" w:rsidP="00555F5C">
      <w:pPr>
        <w:rPr>
          <w:b/>
          <w:color w:val="008000"/>
          <w:sz w:val="32"/>
        </w:rPr>
      </w:pPr>
    </w:p>
    <w:p w14:paraId="4D28182C" w14:textId="77777777" w:rsidR="00555F5C" w:rsidRPr="009278A7" w:rsidRDefault="00555F5C" w:rsidP="00555F5C">
      <w:pPr>
        <w:rPr>
          <w:b/>
          <w:color w:val="008000"/>
          <w:sz w:val="32"/>
        </w:rPr>
      </w:pPr>
      <w:r w:rsidRPr="009278A7">
        <w:rPr>
          <w:b/>
          <w:color w:val="008000"/>
          <w:sz w:val="32"/>
        </w:rPr>
        <w:t>Household Type</w:t>
      </w:r>
    </w:p>
    <w:p w14:paraId="16341CCA" w14:textId="77777777" w:rsidR="00DD7BCF" w:rsidRDefault="00DD7BCF" w:rsidP="00DD7BCF">
      <w:pPr>
        <w:numPr>
          <w:ilvl w:val="0"/>
          <w:numId w:val="20"/>
        </w:numPr>
        <w:spacing w:before="0" w:after="0"/>
        <w:rPr>
          <w:sz w:val="22"/>
          <w:szCs w:val="22"/>
        </w:rPr>
      </w:pPr>
      <w:r>
        <w:rPr>
          <w:sz w:val="22"/>
          <w:szCs w:val="22"/>
        </w:rPr>
        <w:t xml:space="preserve">A look at household types gives some insight into the type of housing – particularly number of bedrooms – that is likely to be appropriate to meet the housing needs of the community. </w:t>
      </w:r>
    </w:p>
    <w:p w14:paraId="68412BD3" w14:textId="77777777" w:rsidR="00C76C37" w:rsidRDefault="00F04DE5" w:rsidP="009E439D">
      <w:pPr>
        <w:numPr>
          <w:ilvl w:val="0"/>
          <w:numId w:val="20"/>
        </w:numPr>
        <w:spacing w:before="0" w:after="0"/>
        <w:rPr>
          <w:sz w:val="22"/>
          <w:szCs w:val="22"/>
        </w:rPr>
      </w:pPr>
      <w:r w:rsidRPr="00C76C37">
        <w:rPr>
          <w:sz w:val="22"/>
          <w:szCs w:val="22"/>
        </w:rPr>
        <w:t xml:space="preserve">Household types in the </w:t>
      </w:r>
      <w:r w:rsidR="0029450A" w:rsidRPr="00C76C37">
        <w:rPr>
          <w:sz w:val="22"/>
          <w:szCs w:val="22"/>
        </w:rPr>
        <w:t xml:space="preserve">South and East Tablelands </w:t>
      </w:r>
      <w:r w:rsidRPr="00C76C37">
        <w:rPr>
          <w:sz w:val="22"/>
          <w:szCs w:val="22"/>
        </w:rPr>
        <w:t xml:space="preserve">vary between the LGAs </w:t>
      </w:r>
      <w:r w:rsidR="0029450A" w:rsidRPr="00C76C37">
        <w:rPr>
          <w:sz w:val="22"/>
          <w:szCs w:val="22"/>
        </w:rPr>
        <w:t xml:space="preserve">within the region </w:t>
      </w:r>
      <w:r w:rsidRPr="00C76C37">
        <w:rPr>
          <w:sz w:val="22"/>
          <w:szCs w:val="22"/>
        </w:rPr>
        <w:t xml:space="preserve">and generally differ from the average for NSW.  </w:t>
      </w:r>
    </w:p>
    <w:p w14:paraId="273B3191" w14:textId="77777777" w:rsidR="00C76C37" w:rsidRDefault="00F04DE5" w:rsidP="009E439D">
      <w:pPr>
        <w:numPr>
          <w:ilvl w:val="0"/>
          <w:numId w:val="20"/>
        </w:numPr>
        <w:spacing w:before="0" w:after="0"/>
        <w:rPr>
          <w:sz w:val="22"/>
          <w:szCs w:val="22"/>
        </w:rPr>
      </w:pPr>
      <w:r w:rsidRPr="00C76C37">
        <w:rPr>
          <w:sz w:val="22"/>
          <w:szCs w:val="22"/>
        </w:rPr>
        <w:t>At the 2021 Census in the Rest of NSW, couple families with</w:t>
      </w:r>
      <w:r w:rsidR="009430AD">
        <w:rPr>
          <w:sz w:val="22"/>
          <w:szCs w:val="22"/>
        </w:rPr>
        <w:t>out</w:t>
      </w:r>
      <w:r w:rsidRPr="00C76C37">
        <w:rPr>
          <w:sz w:val="22"/>
          <w:szCs w:val="22"/>
        </w:rPr>
        <w:t xml:space="preserve"> children (27.7%) and lone person households (26.1%) are the largest two household types. </w:t>
      </w:r>
      <w:r w:rsidR="00C76C37">
        <w:rPr>
          <w:sz w:val="22"/>
          <w:szCs w:val="22"/>
        </w:rPr>
        <w:t xml:space="preserve">  This is true for the South and East Tablelands as a region but individual LGAs vary.</w:t>
      </w:r>
    </w:p>
    <w:p w14:paraId="24E96171" w14:textId="77777777" w:rsidR="00C76C37" w:rsidRDefault="00F04DE5" w:rsidP="009E439D">
      <w:pPr>
        <w:numPr>
          <w:ilvl w:val="0"/>
          <w:numId w:val="20"/>
        </w:numPr>
        <w:spacing w:before="0" w:after="0"/>
        <w:rPr>
          <w:sz w:val="22"/>
          <w:szCs w:val="22"/>
        </w:rPr>
      </w:pPr>
      <w:r w:rsidRPr="00C76C37">
        <w:rPr>
          <w:sz w:val="22"/>
          <w:szCs w:val="22"/>
        </w:rPr>
        <w:t xml:space="preserve">In the </w:t>
      </w:r>
      <w:r w:rsidR="00C76C37">
        <w:rPr>
          <w:sz w:val="22"/>
          <w:szCs w:val="22"/>
        </w:rPr>
        <w:t>South and East Tablelands</w:t>
      </w:r>
      <w:r w:rsidRPr="00C76C37">
        <w:rPr>
          <w:sz w:val="22"/>
          <w:szCs w:val="22"/>
        </w:rPr>
        <w:t xml:space="preserve">, </w:t>
      </w:r>
      <w:r w:rsidR="00EE0DAA">
        <w:rPr>
          <w:sz w:val="22"/>
          <w:szCs w:val="22"/>
        </w:rPr>
        <w:t>Queanbeyan-</w:t>
      </w:r>
      <w:proofErr w:type="spellStart"/>
      <w:r w:rsidR="00EE0DAA">
        <w:rPr>
          <w:sz w:val="22"/>
          <w:szCs w:val="22"/>
        </w:rPr>
        <w:t>Palerang</w:t>
      </w:r>
      <w:proofErr w:type="spellEnd"/>
      <w:r w:rsidR="00EE0DAA">
        <w:rPr>
          <w:sz w:val="22"/>
          <w:szCs w:val="22"/>
        </w:rPr>
        <w:t xml:space="preserve">, </w:t>
      </w:r>
      <w:proofErr w:type="spellStart"/>
      <w:r w:rsidR="00EE0DAA">
        <w:rPr>
          <w:sz w:val="22"/>
          <w:szCs w:val="22"/>
        </w:rPr>
        <w:t>Wingecarribee</w:t>
      </w:r>
      <w:proofErr w:type="spellEnd"/>
      <w:r w:rsidR="00EE0DAA">
        <w:rPr>
          <w:sz w:val="22"/>
          <w:szCs w:val="22"/>
        </w:rPr>
        <w:t xml:space="preserve"> and Yass Valley have couple families with children and couple families without children as the largest two household types. </w:t>
      </w:r>
      <w:r w:rsidR="00B72138">
        <w:rPr>
          <w:sz w:val="22"/>
          <w:szCs w:val="22"/>
        </w:rPr>
        <w:t xml:space="preserve"> The remainder of the LGAs in the region </w:t>
      </w:r>
      <w:r w:rsidR="00842CF0">
        <w:rPr>
          <w:sz w:val="22"/>
          <w:szCs w:val="22"/>
        </w:rPr>
        <w:t>are in line with</w:t>
      </w:r>
      <w:r w:rsidR="00B72138">
        <w:rPr>
          <w:sz w:val="22"/>
          <w:szCs w:val="22"/>
        </w:rPr>
        <w:t xml:space="preserve"> the Rest of NSW.</w:t>
      </w:r>
    </w:p>
    <w:p w14:paraId="284BF6C2" w14:textId="77777777" w:rsidR="009806D3" w:rsidRDefault="009806D3" w:rsidP="009E439D">
      <w:pPr>
        <w:numPr>
          <w:ilvl w:val="0"/>
          <w:numId w:val="20"/>
        </w:numPr>
        <w:spacing w:before="0" w:after="0"/>
        <w:rPr>
          <w:sz w:val="22"/>
          <w:szCs w:val="22"/>
        </w:rPr>
      </w:pPr>
      <w:r>
        <w:rPr>
          <w:sz w:val="22"/>
          <w:szCs w:val="22"/>
        </w:rPr>
        <w:t>At the 2021 Census in South and East Tablelands:</w:t>
      </w:r>
    </w:p>
    <w:p w14:paraId="054627A1" w14:textId="77777777" w:rsidR="009806D3" w:rsidRDefault="009806D3" w:rsidP="009806D3">
      <w:pPr>
        <w:numPr>
          <w:ilvl w:val="1"/>
          <w:numId w:val="20"/>
        </w:numPr>
        <w:spacing w:before="0" w:after="0"/>
        <w:rPr>
          <w:sz w:val="22"/>
          <w:szCs w:val="22"/>
        </w:rPr>
      </w:pPr>
      <w:r>
        <w:rPr>
          <w:sz w:val="22"/>
          <w:szCs w:val="22"/>
        </w:rPr>
        <w:t xml:space="preserve">The proportion of couple families without children ranged from 33.6% in Eurobodalla to </w:t>
      </w:r>
      <w:r w:rsidR="00CB7951">
        <w:rPr>
          <w:sz w:val="22"/>
          <w:szCs w:val="22"/>
        </w:rPr>
        <w:t>24.1% in Queanbeyan-</w:t>
      </w:r>
      <w:proofErr w:type="spellStart"/>
      <w:r w:rsidR="00CB7951">
        <w:rPr>
          <w:sz w:val="22"/>
          <w:szCs w:val="22"/>
        </w:rPr>
        <w:t>Palerang</w:t>
      </w:r>
      <w:proofErr w:type="spellEnd"/>
    </w:p>
    <w:p w14:paraId="6F6AF2F9" w14:textId="77777777" w:rsidR="00CB7951" w:rsidRDefault="00CB7951" w:rsidP="009806D3">
      <w:pPr>
        <w:numPr>
          <w:ilvl w:val="1"/>
          <w:numId w:val="20"/>
        </w:numPr>
        <w:spacing w:before="0" w:after="0"/>
        <w:rPr>
          <w:sz w:val="22"/>
          <w:szCs w:val="22"/>
        </w:rPr>
      </w:pPr>
      <w:r>
        <w:rPr>
          <w:sz w:val="22"/>
          <w:szCs w:val="22"/>
        </w:rPr>
        <w:t xml:space="preserve">The proportion of couple families with children ranged from </w:t>
      </w:r>
      <w:r w:rsidR="005062B9">
        <w:rPr>
          <w:sz w:val="22"/>
          <w:szCs w:val="22"/>
        </w:rPr>
        <w:t>35.2% in Yass Valley to 16.9% in Eurobodalla</w:t>
      </w:r>
    </w:p>
    <w:p w14:paraId="74F83017" w14:textId="77777777" w:rsidR="005062B9" w:rsidRDefault="005062B9" w:rsidP="009806D3">
      <w:pPr>
        <w:numPr>
          <w:ilvl w:val="1"/>
          <w:numId w:val="20"/>
        </w:numPr>
        <w:spacing w:before="0" w:after="0"/>
        <w:rPr>
          <w:sz w:val="22"/>
          <w:szCs w:val="22"/>
        </w:rPr>
      </w:pPr>
      <w:r>
        <w:rPr>
          <w:sz w:val="22"/>
          <w:szCs w:val="22"/>
        </w:rPr>
        <w:t>The proportion of lone person households ranged from 28.3% in Eurobodalla (with Hilltops on 28.2%) and 18.7% in Yass Valley</w:t>
      </w:r>
    </w:p>
    <w:p w14:paraId="7059E973" w14:textId="77777777" w:rsidR="005062B9" w:rsidRDefault="005062B9" w:rsidP="009806D3">
      <w:pPr>
        <w:numPr>
          <w:ilvl w:val="1"/>
          <w:numId w:val="20"/>
        </w:numPr>
        <w:spacing w:before="0" w:after="0"/>
        <w:rPr>
          <w:sz w:val="22"/>
          <w:szCs w:val="22"/>
        </w:rPr>
      </w:pPr>
      <w:r>
        <w:rPr>
          <w:sz w:val="22"/>
          <w:szCs w:val="22"/>
        </w:rPr>
        <w:t>Goulburn-</w:t>
      </w:r>
      <w:proofErr w:type="spellStart"/>
      <w:r>
        <w:rPr>
          <w:sz w:val="22"/>
          <w:szCs w:val="22"/>
        </w:rPr>
        <w:t>Mulwaree</w:t>
      </w:r>
      <w:proofErr w:type="spellEnd"/>
      <w:r>
        <w:rPr>
          <w:sz w:val="22"/>
          <w:szCs w:val="22"/>
        </w:rPr>
        <w:t xml:space="preserve"> has the highest proportion of one parent families with 11.5%</w:t>
      </w:r>
    </w:p>
    <w:p w14:paraId="445DCDCC" w14:textId="77777777" w:rsidR="005062B9" w:rsidRPr="005062B9" w:rsidRDefault="005062B9" w:rsidP="005062B9">
      <w:pPr>
        <w:numPr>
          <w:ilvl w:val="1"/>
          <w:numId w:val="20"/>
        </w:numPr>
        <w:spacing w:before="0" w:after="0"/>
        <w:rPr>
          <w:sz w:val="22"/>
          <w:szCs w:val="22"/>
        </w:rPr>
      </w:pPr>
      <w:r>
        <w:rPr>
          <w:sz w:val="22"/>
          <w:szCs w:val="22"/>
        </w:rPr>
        <w:t>Snowy Monaro has the highest proportion of other household types with 18.5% and the highest proportion of group households with 2.8%.</w:t>
      </w:r>
    </w:p>
    <w:p w14:paraId="5DACF009" w14:textId="77777777" w:rsidR="00842CF0" w:rsidRPr="002D4B6D" w:rsidRDefault="00842CF0" w:rsidP="00842CF0">
      <w:pPr>
        <w:numPr>
          <w:ilvl w:val="0"/>
          <w:numId w:val="20"/>
        </w:numPr>
        <w:spacing w:before="0" w:after="0"/>
        <w:rPr>
          <w:sz w:val="22"/>
          <w:szCs w:val="22"/>
        </w:rPr>
      </w:pPr>
      <w:r w:rsidRPr="002D4B6D">
        <w:rPr>
          <w:sz w:val="22"/>
          <w:szCs w:val="22"/>
        </w:rPr>
        <w:t>There has been a small shift since the 2016 Census, with an increase in couple famil</w:t>
      </w:r>
      <w:r>
        <w:rPr>
          <w:sz w:val="22"/>
          <w:szCs w:val="22"/>
        </w:rPr>
        <w:t xml:space="preserve">y </w:t>
      </w:r>
      <w:r w:rsidRPr="002D4B6D">
        <w:rPr>
          <w:sz w:val="22"/>
          <w:szCs w:val="22"/>
        </w:rPr>
        <w:t xml:space="preserve">without children households in the Rest of NSW (0.7%), a decline in couple </w:t>
      </w:r>
      <w:r w:rsidRPr="002D4B6D">
        <w:rPr>
          <w:sz w:val="22"/>
          <w:szCs w:val="22"/>
        </w:rPr>
        <w:lastRenderedPageBreak/>
        <w:t>families with children households (-0.6%) and a s</w:t>
      </w:r>
      <w:r>
        <w:rPr>
          <w:sz w:val="22"/>
          <w:szCs w:val="22"/>
        </w:rPr>
        <w:t>light</w:t>
      </w:r>
      <w:r w:rsidRPr="002D4B6D">
        <w:rPr>
          <w:sz w:val="22"/>
          <w:szCs w:val="22"/>
        </w:rPr>
        <w:t xml:space="preserve"> increase in lone person households (0.5%).  </w:t>
      </w:r>
    </w:p>
    <w:p w14:paraId="4E817CCF" w14:textId="77777777" w:rsidR="00F04DE5" w:rsidRDefault="008C5C56" w:rsidP="00F04DE5">
      <w:pPr>
        <w:numPr>
          <w:ilvl w:val="0"/>
          <w:numId w:val="20"/>
        </w:numPr>
        <w:spacing w:before="0" w:after="0"/>
        <w:rPr>
          <w:sz w:val="22"/>
          <w:szCs w:val="22"/>
        </w:rPr>
      </w:pPr>
      <w:r>
        <w:rPr>
          <w:sz w:val="22"/>
          <w:szCs w:val="22"/>
        </w:rPr>
        <w:t>Some of the LGAs in South and East Tablelands have experienced more pronounced change in household types between 2016 and 2021:</w:t>
      </w:r>
    </w:p>
    <w:p w14:paraId="589DEE7C" w14:textId="77777777" w:rsidR="008C5C56" w:rsidRDefault="008C5C56" w:rsidP="00F04DE5">
      <w:pPr>
        <w:numPr>
          <w:ilvl w:val="1"/>
          <w:numId w:val="20"/>
        </w:numPr>
        <w:spacing w:before="0" w:after="0"/>
        <w:rPr>
          <w:sz w:val="22"/>
          <w:szCs w:val="22"/>
        </w:rPr>
      </w:pPr>
      <w:r>
        <w:rPr>
          <w:sz w:val="22"/>
          <w:szCs w:val="22"/>
        </w:rPr>
        <w:t>Couple family without children households increased by 1.8% in Snowy Monaro, 1.6% in Upper Lachlan and 1.5% in Queanbeyan-</w:t>
      </w:r>
      <w:proofErr w:type="spellStart"/>
      <w:r>
        <w:rPr>
          <w:sz w:val="22"/>
          <w:szCs w:val="22"/>
        </w:rPr>
        <w:t>Palerang</w:t>
      </w:r>
      <w:proofErr w:type="spellEnd"/>
      <w:r>
        <w:rPr>
          <w:sz w:val="22"/>
          <w:szCs w:val="22"/>
        </w:rPr>
        <w:t>, while Yass Valley saw a slight decline of -0.1%.</w:t>
      </w:r>
    </w:p>
    <w:p w14:paraId="3DD2EA5B" w14:textId="08D12EAF" w:rsidR="00F04DE5" w:rsidRDefault="00F04DE5" w:rsidP="00F04DE5">
      <w:pPr>
        <w:numPr>
          <w:ilvl w:val="1"/>
          <w:numId w:val="20"/>
        </w:numPr>
        <w:spacing w:before="0" w:after="0"/>
        <w:rPr>
          <w:sz w:val="22"/>
          <w:szCs w:val="22"/>
        </w:rPr>
      </w:pPr>
      <w:r>
        <w:rPr>
          <w:sz w:val="22"/>
          <w:szCs w:val="22"/>
        </w:rPr>
        <w:t xml:space="preserve">Couple family with children households increased by </w:t>
      </w:r>
      <w:r w:rsidR="009806D3">
        <w:rPr>
          <w:sz w:val="22"/>
          <w:szCs w:val="22"/>
        </w:rPr>
        <w:t>0.6</w:t>
      </w:r>
      <w:r>
        <w:rPr>
          <w:sz w:val="22"/>
          <w:szCs w:val="22"/>
        </w:rPr>
        <w:t xml:space="preserve">% in </w:t>
      </w:r>
      <w:r w:rsidR="009806D3">
        <w:rPr>
          <w:sz w:val="22"/>
          <w:szCs w:val="22"/>
        </w:rPr>
        <w:t>Queanbeyan-</w:t>
      </w:r>
      <w:proofErr w:type="spellStart"/>
      <w:r w:rsidR="009806D3">
        <w:rPr>
          <w:sz w:val="22"/>
          <w:szCs w:val="22"/>
        </w:rPr>
        <w:t>Palerang</w:t>
      </w:r>
      <w:proofErr w:type="spellEnd"/>
      <w:r w:rsidR="009806D3">
        <w:rPr>
          <w:sz w:val="22"/>
          <w:szCs w:val="22"/>
        </w:rPr>
        <w:t xml:space="preserve"> and Snowy Regional</w:t>
      </w:r>
      <w:r>
        <w:rPr>
          <w:sz w:val="22"/>
          <w:szCs w:val="22"/>
        </w:rPr>
        <w:t xml:space="preserve"> and </w:t>
      </w:r>
      <w:r w:rsidR="009806D3">
        <w:rPr>
          <w:sz w:val="22"/>
          <w:szCs w:val="22"/>
        </w:rPr>
        <w:t>0</w:t>
      </w:r>
      <w:r>
        <w:rPr>
          <w:sz w:val="22"/>
          <w:szCs w:val="22"/>
        </w:rPr>
        <w:t xml:space="preserve">.3% in </w:t>
      </w:r>
      <w:r w:rsidR="009806D3">
        <w:rPr>
          <w:sz w:val="22"/>
          <w:szCs w:val="22"/>
        </w:rPr>
        <w:t>Yass Valley</w:t>
      </w:r>
      <w:r>
        <w:rPr>
          <w:sz w:val="22"/>
          <w:szCs w:val="22"/>
        </w:rPr>
        <w:t xml:space="preserve"> and declined by -</w:t>
      </w:r>
      <w:r w:rsidR="009806D3">
        <w:rPr>
          <w:sz w:val="22"/>
          <w:szCs w:val="22"/>
        </w:rPr>
        <w:t>1.0</w:t>
      </w:r>
      <w:r>
        <w:rPr>
          <w:sz w:val="22"/>
          <w:szCs w:val="22"/>
        </w:rPr>
        <w:t xml:space="preserve">% in </w:t>
      </w:r>
      <w:r w:rsidR="009806D3">
        <w:rPr>
          <w:sz w:val="22"/>
          <w:szCs w:val="22"/>
        </w:rPr>
        <w:t>Goulburn-</w:t>
      </w:r>
      <w:proofErr w:type="spellStart"/>
      <w:r w:rsidR="009806D3">
        <w:rPr>
          <w:sz w:val="22"/>
          <w:szCs w:val="22"/>
        </w:rPr>
        <w:t>Mulwaree</w:t>
      </w:r>
      <w:proofErr w:type="spellEnd"/>
      <w:r>
        <w:rPr>
          <w:sz w:val="22"/>
          <w:szCs w:val="22"/>
        </w:rPr>
        <w:t>.</w:t>
      </w:r>
    </w:p>
    <w:p w14:paraId="5F7580B2" w14:textId="77777777" w:rsidR="000C1D2C" w:rsidRPr="00A238C7" w:rsidRDefault="00F04DE5" w:rsidP="000A36E1">
      <w:pPr>
        <w:numPr>
          <w:ilvl w:val="1"/>
          <w:numId w:val="20"/>
        </w:numPr>
        <w:spacing w:before="0" w:after="0"/>
        <w:rPr>
          <w:sz w:val="22"/>
          <w:szCs w:val="22"/>
        </w:rPr>
      </w:pPr>
      <w:r>
        <w:rPr>
          <w:sz w:val="22"/>
          <w:szCs w:val="22"/>
        </w:rPr>
        <w:t xml:space="preserve">Lone person households increased by </w:t>
      </w:r>
      <w:r w:rsidR="009806D3">
        <w:rPr>
          <w:sz w:val="22"/>
          <w:szCs w:val="22"/>
        </w:rPr>
        <w:t>0.9</w:t>
      </w:r>
      <w:r>
        <w:rPr>
          <w:sz w:val="22"/>
          <w:szCs w:val="22"/>
        </w:rPr>
        <w:t xml:space="preserve">% in </w:t>
      </w:r>
      <w:r w:rsidR="009806D3">
        <w:rPr>
          <w:sz w:val="22"/>
          <w:szCs w:val="22"/>
        </w:rPr>
        <w:t xml:space="preserve">Goulburn </w:t>
      </w:r>
      <w:proofErr w:type="spellStart"/>
      <w:r w:rsidR="009806D3">
        <w:rPr>
          <w:sz w:val="22"/>
          <w:szCs w:val="22"/>
        </w:rPr>
        <w:t>Mulwaree</w:t>
      </w:r>
      <w:proofErr w:type="spellEnd"/>
      <w:r w:rsidR="009806D3">
        <w:rPr>
          <w:sz w:val="22"/>
          <w:szCs w:val="22"/>
        </w:rPr>
        <w:t xml:space="preserve"> </w:t>
      </w:r>
      <w:r>
        <w:rPr>
          <w:sz w:val="22"/>
          <w:szCs w:val="22"/>
        </w:rPr>
        <w:t>and declined by -</w:t>
      </w:r>
      <w:r w:rsidR="009806D3">
        <w:rPr>
          <w:sz w:val="22"/>
          <w:szCs w:val="22"/>
        </w:rPr>
        <w:t>1.7</w:t>
      </w:r>
      <w:r>
        <w:rPr>
          <w:sz w:val="22"/>
          <w:szCs w:val="22"/>
        </w:rPr>
        <w:t xml:space="preserve">% in </w:t>
      </w:r>
      <w:r w:rsidR="009806D3">
        <w:rPr>
          <w:sz w:val="22"/>
          <w:szCs w:val="22"/>
        </w:rPr>
        <w:t>Upper Lachlan</w:t>
      </w:r>
      <w:r>
        <w:rPr>
          <w:sz w:val="22"/>
          <w:szCs w:val="22"/>
        </w:rPr>
        <w:t>.</w:t>
      </w:r>
    </w:p>
    <w:p w14:paraId="39D70C20" w14:textId="5BF8AB37" w:rsidR="00F04DE5" w:rsidRPr="00175B16" w:rsidRDefault="00F04DE5" w:rsidP="00F04DE5">
      <w:pPr>
        <w:numPr>
          <w:ilvl w:val="0"/>
          <w:numId w:val="20"/>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every </w:t>
      </w:r>
      <w:r w:rsidR="00CA090E">
        <w:rPr>
          <w:sz w:val="22"/>
          <w:szCs w:val="22"/>
        </w:rPr>
        <w:t>South and East Tablelands</w:t>
      </w:r>
      <w:r w:rsidRPr="00175B16">
        <w:rPr>
          <w:sz w:val="22"/>
          <w:szCs w:val="22"/>
        </w:rPr>
        <w:t xml:space="preserve"> LGA</w:t>
      </w:r>
      <w:r w:rsidR="00CA090E">
        <w:rPr>
          <w:sz w:val="22"/>
          <w:szCs w:val="22"/>
        </w:rPr>
        <w:t xml:space="preserve">, as well as the </w:t>
      </w:r>
      <w:r w:rsidRPr="00175B16">
        <w:rPr>
          <w:sz w:val="22"/>
          <w:szCs w:val="22"/>
        </w:rPr>
        <w:t>Rest of NSW at the 20</w:t>
      </w:r>
      <w:r>
        <w:rPr>
          <w:sz w:val="22"/>
          <w:szCs w:val="22"/>
        </w:rPr>
        <w:t>21</w:t>
      </w:r>
      <w:r w:rsidRPr="00175B16">
        <w:rPr>
          <w:sz w:val="22"/>
          <w:szCs w:val="22"/>
        </w:rPr>
        <w:t xml:space="preserve"> Census.</w:t>
      </w:r>
    </w:p>
    <w:p w14:paraId="09F8EAD7" w14:textId="77777777" w:rsidR="00F04DE5" w:rsidRDefault="00F04DE5" w:rsidP="00F04DE5">
      <w:pPr>
        <w:spacing w:before="0" w:after="0"/>
        <w:rPr>
          <w:sz w:val="22"/>
          <w:szCs w:val="22"/>
        </w:rPr>
      </w:pPr>
    </w:p>
    <w:p w14:paraId="2D55EAF6" w14:textId="77777777" w:rsidR="00F04DE5" w:rsidRDefault="00F04DE5" w:rsidP="00F04DE5">
      <w:pPr>
        <w:spacing w:before="0" w:after="0"/>
        <w:rPr>
          <w:sz w:val="22"/>
          <w:szCs w:val="22"/>
        </w:rPr>
      </w:pPr>
    </w:p>
    <w:p w14:paraId="5423A354" w14:textId="77777777" w:rsidR="00F04DE5" w:rsidRDefault="002D12BC" w:rsidP="00F04DE5">
      <w:pPr>
        <w:spacing w:before="0" w:after="0"/>
        <w:rPr>
          <w:sz w:val="22"/>
          <w:szCs w:val="22"/>
        </w:rPr>
      </w:pPr>
      <w:r>
        <w:rPr>
          <w:noProof/>
          <w:sz w:val="22"/>
          <w:szCs w:val="22"/>
        </w:rPr>
        <w:drawing>
          <wp:inline distT="0" distB="0" distL="0" distR="0" wp14:anchorId="5CB37CA7" wp14:editId="6CC20887">
            <wp:extent cx="6060186" cy="3314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1839" cy="3321074"/>
                    </a:xfrm>
                    <a:prstGeom prst="rect">
                      <a:avLst/>
                    </a:prstGeom>
                    <a:noFill/>
                  </pic:spPr>
                </pic:pic>
              </a:graphicData>
            </a:graphic>
          </wp:inline>
        </w:drawing>
      </w:r>
    </w:p>
    <w:p w14:paraId="763D9DB0" w14:textId="77777777" w:rsidR="00F04DE5" w:rsidRDefault="00F04DE5" w:rsidP="00F04DE5">
      <w:pPr>
        <w:spacing w:before="0" w:after="0"/>
        <w:rPr>
          <w:sz w:val="22"/>
          <w:szCs w:val="22"/>
        </w:rPr>
      </w:pPr>
    </w:p>
    <w:p w14:paraId="34D7506A" w14:textId="77777777" w:rsidR="002D12BC" w:rsidRDefault="002D12BC" w:rsidP="00F04DE5">
      <w:pPr>
        <w:spacing w:before="0" w:after="0"/>
        <w:rPr>
          <w:sz w:val="22"/>
          <w:szCs w:val="22"/>
        </w:rPr>
      </w:pPr>
    </w:p>
    <w:p w14:paraId="4334C681" w14:textId="77777777" w:rsidR="002D12BC" w:rsidRDefault="002D12BC" w:rsidP="00F04DE5">
      <w:pPr>
        <w:spacing w:before="0" w:after="0"/>
        <w:rPr>
          <w:sz w:val="22"/>
          <w:szCs w:val="22"/>
        </w:rPr>
      </w:pPr>
    </w:p>
    <w:p w14:paraId="5AB00E17" w14:textId="77777777" w:rsidR="00F04DE5" w:rsidRDefault="002D12BC" w:rsidP="00F04DE5">
      <w:pPr>
        <w:spacing w:before="0" w:after="0"/>
        <w:rPr>
          <w:sz w:val="22"/>
          <w:szCs w:val="22"/>
        </w:rPr>
      </w:pPr>
      <w:r w:rsidRPr="002D12BC">
        <w:rPr>
          <w:noProof/>
        </w:rPr>
        <w:lastRenderedPageBreak/>
        <w:drawing>
          <wp:inline distT="0" distB="0" distL="0" distR="0" wp14:anchorId="6ACE1887" wp14:editId="7F8FEC0C">
            <wp:extent cx="5274310" cy="3177632"/>
            <wp:effectExtent l="0" t="0" r="254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177632"/>
                    </a:xfrm>
                    <a:prstGeom prst="rect">
                      <a:avLst/>
                    </a:prstGeom>
                    <a:noFill/>
                    <a:ln>
                      <a:noFill/>
                    </a:ln>
                  </pic:spPr>
                </pic:pic>
              </a:graphicData>
            </a:graphic>
          </wp:inline>
        </w:drawing>
      </w:r>
    </w:p>
    <w:p w14:paraId="2F197048" w14:textId="77777777" w:rsidR="00606B1E" w:rsidRPr="008E6616" w:rsidRDefault="00606B1E" w:rsidP="00606B1E">
      <w:pPr>
        <w:pStyle w:val="ListParagraph"/>
        <w:numPr>
          <w:ilvl w:val="0"/>
          <w:numId w:val="24"/>
        </w:numPr>
        <w:rPr>
          <w:sz w:val="22"/>
          <w:szCs w:val="22"/>
        </w:rPr>
      </w:pPr>
      <w:r>
        <w:rPr>
          <w:sz w:val="22"/>
          <w:szCs w:val="22"/>
        </w:rPr>
        <w:t>Given the number of lone person and couple only households, it is important to ensure that housing choice in the community reflects this through availability of studio, one and two bedroom homes.</w:t>
      </w:r>
    </w:p>
    <w:p w14:paraId="7DF55185" w14:textId="77777777" w:rsidR="00F04DE5" w:rsidRDefault="00F04DE5" w:rsidP="00F04DE5">
      <w:pPr>
        <w:spacing w:before="0" w:after="0"/>
        <w:rPr>
          <w:sz w:val="22"/>
          <w:szCs w:val="22"/>
        </w:rPr>
      </w:pPr>
    </w:p>
    <w:p w14:paraId="47455394" w14:textId="77777777" w:rsidR="00F04DE5" w:rsidRDefault="00F04DE5" w:rsidP="00F04DE5">
      <w:pPr>
        <w:spacing w:before="0" w:after="0"/>
        <w:rPr>
          <w:sz w:val="22"/>
          <w:szCs w:val="22"/>
        </w:rPr>
      </w:pPr>
    </w:p>
    <w:p w14:paraId="49A41CC5" w14:textId="77777777" w:rsidR="00555F5C" w:rsidRDefault="00555F5C" w:rsidP="00555F5C">
      <w:pPr>
        <w:rPr>
          <w:b/>
          <w:color w:val="008000"/>
          <w:sz w:val="32"/>
        </w:rPr>
      </w:pPr>
      <w:r w:rsidRPr="00B405B2">
        <w:rPr>
          <w:b/>
          <w:color w:val="008000"/>
          <w:sz w:val="32"/>
        </w:rPr>
        <w:t>Household Size</w:t>
      </w:r>
    </w:p>
    <w:p w14:paraId="37F0A0C3" w14:textId="77777777" w:rsidR="00A51097" w:rsidRDefault="00A51097" w:rsidP="00A51097">
      <w:pPr>
        <w:numPr>
          <w:ilvl w:val="0"/>
          <w:numId w:val="13"/>
        </w:numPr>
        <w:spacing w:before="0" w:after="0"/>
        <w:rPr>
          <w:sz w:val="22"/>
          <w:szCs w:val="22"/>
        </w:rPr>
      </w:pPr>
      <w:r>
        <w:rPr>
          <w:sz w:val="22"/>
          <w:szCs w:val="22"/>
        </w:rPr>
        <w:t>At the 2021 Census, the average household size for the Rest of NSW was 2.4 persons per household – unchanged from 2016 and 2011.</w:t>
      </w:r>
    </w:p>
    <w:p w14:paraId="25542199" w14:textId="77777777" w:rsidR="00A51097" w:rsidRDefault="00A51097" w:rsidP="00A51097">
      <w:pPr>
        <w:numPr>
          <w:ilvl w:val="0"/>
          <w:numId w:val="13"/>
        </w:numPr>
        <w:spacing w:before="0" w:after="0"/>
        <w:rPr>
          <w:sz w:val="22"/>
          <w:szCs w:val="22"/>
        </w:rPr>
      </w:pPr>
      <w:r>
        <w:rPr>
          <w:sz w:val="22"/>
          <w:szCs w:val="22"/>
        </w:rPr>
        <w:t>Yass Valley (2.7 persons per household) and Queanbeyan-</w:t>
      </w:r>
      <w:proofErr w:type="spellStart"/>
      <w:r>
        <w:rPr>
          <w:sz w:val="22"/>
          <w:szCs w:val="22"/>
        </w:rPr>
        <w:t>Palerang</w:t>
      </w:r>
      <w:proofErr w:type="spellEnd"/>
      <w:r>
        <w:rPr>
          <w:sz w:val="22"/>
          <w:szCs w:val="22"/>
        </w:rPr>
        <w:t xml:space="preserve"> (2.6 persons per household) have a larger average household size than the Rest of NSW, while Bega Valley and Eurobodalla (both 2.2 persons per household) have a smaller average household size than the Rest of NSW.</w:t>
      </w:r>
    </w:p>
    <w:p w14:paraId="2799AC5F" w14:textId="77777777" w:rsidR="00A51097" w:rsidRDefault="00A51097" w:rsidP="00A51097">
      <w:pPr>
        <w:numPr>
          <w:ilvl w:val="0"/>
          <w:numId w:val="13"/>
        </w:numPr>
        <w:spacing w:before="0" w:after="0"/>
        <w:rPr>
          <w:sz w:val="22"/>
          <w:szCs w:val="22"/>
        </w:rPr>
      </w:pPr>
      <w:r w:rsidRPr="00175B16">
        <w:rPr>
          <w:sz w:val="22"/>
          <w:szCs w:val="22"/>
        </w:rPr>
        <w:t xml:space="preserve">Since </w:t>
      </w:r>
      <w:r>
        <w:rPr>
          <w:sz w:val="22"/>
          <w:szCs w:val="22"/>
        </w:rPr>
        <w:t>201</w:t>
      </w:r>
      <w:r w:rsidRPr="00175B16">
        <w:rPr>
          <w:sz w:val="22"/>
          <w:szCs w:val="22"/>
        </w:rPr>
        <w:t xml:space="preserve">6, average household size has </w:t>
      </w:r>
      <w:r>
        <w:rPr>
          <w:sz w:val="22"/>
          <w:szCs w:val="22"/>
        </w:rPr>
        <w:t xml:space="preserve">been stable in every South and East Tablelands LGA excepting Snowy Monaro, which increased from 2.3 to 2.4 persons per household. </w:t>
      </w:r>
    </w:p>
    <w:p w14:paraId="4D767E6B" w14:textId="77777777" w:rsidR="00A51097" w:rsidRDefault="00A51097" w:rsidP="00A51097">
      <w:pPr>
        <w:numPr>
          <w:ilvl w:val="0"/>
          <w:numId w:val="13"/>
        </w:numPr>
        <w:spacing w:before="0" w:after="0"/>
        <w:rPr>
          <w:sz w:val="22"/>
          <w:szCs w:val="22"/>
        </w:rPr>
      </w:pPr>
      <w:r w:rsidRPr="00175B16">
        <w:rPr>
          <w:sz w:val="22"/>
          <w:szCs w:val="22"/>
        </w:rPr>
        <w:t>The table below gives the average household</w:t>
      </w:r>
      <w:r>
        <w:rPr>
          <w:sz w:val="22"/>
          <w:szCs w:val="22"/>
        </w:rPr>
        <w:t xml:space="preserve"> size in each of the South and East Tablelands LGAs as well as</w:t>
      </w:r>
      <w:r w:rsidRPr="00175B16">
        <w:rPr>
          <w:sz w:val="22"/>
          <w:szCs w:val="22"/>
        </w:rPr>
        <w:t xml:space="preserve"> the Rest of NSW</w:t>
      </w:r>
      <w:r>
        <w:rPr>
          <w:sz w:val="22"/>
          <w:szCs w:val="22"/>
        </w:rPr>
        <w:t xml:space="preserve"> </w:t>
      </w:r>
      <w:r w:rsidRPr="00175B16">
        <w:rPr>
          <w:sz w:val="22"/>
          <w:szCs w:val="22"/>
        </w:rPr>
        <w:t>for 2011</w:t>
      </w:r>
      <w:r>
        <w:rPr>
          <w:sz w:val="22"/>
          <w:szCs w:val="22"/>
        </w:rPr>
        <w:t>,</w:t>
      </w:r>
      <w:r w:rsidRPr="00175B16">
        <w:rPr>
          <w:sz w:val="22"/>
          <w:szCs w:val="22"/>
        </w:rPr>
        <w:t xml:space="preserve"> 2016</w:t>
      </w:r>
      <w:r>
        <w:rPr>
          <w:sz w:val="22"/>
          <w:szCs w:val="22"/>
        </w:rPr>
        <w:t xml:space="preserve"> and 2021</w:t>
      </w:r>
    </w:p>
    <w:p w14:paraId="55DCBAC4" w14:textId="77777777" w:rsidR="00A51097" w:rsidRDefault="00A51097" w:rsidP="00A51097">
      <w:pPr>
        <w:spacing w:before="0" w:after="0"/>
        <w:rPr>
          <w:sz w:val="22"/>
          <w:szCs w:val="22"/>
        </w:rPr>
      </w:pPr>
    </w:p>
    <w:p w14:paraId="0FF5E0A0" w14:textId="77777777" w:rsidR="00A51097" w:rsidRDefault="00A51097" w:rsidP="00A51097">
      <w:pPr>
        <w:spacing w:before="0" w:after="0"/>
        <w:rPr>
          <w:sz w:val="22"/>
          <w:szCs w:val="22"/>
        </w:rPr>
      </w:pPr>
    </w:p>
    <w:p w14:paraId="66B7116C" w14:textId="77777777" w:rsidR="00A51097" w:rsidRDefault="00A51097" w:rsidP="00A51097">
      <w:pPr>
        <w:spacing w:before="0" w:after="0"/>
        <w:rPr>
          <w:sz w:val="22"/>
          <w:szCs w:val="22"/>
        </w:rPr>
      </w:pPr>
      <w:r w:rsidRPr="00A51097">
        <w:rPr>
          <w:noProof/>
        </w:rPr>
        <w:lastRenderedPageBreak/>
        <w:drawing>
          <wp:inline distT="0" distB="0" distL="0" distR="0" wp14:anchorId="4F5F960C" wp14:editId="210C36C8">
            <wp:extent cx="3800475" cy="2676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2676525"/>
                    </a:xfrm>
                    <a:prstGeom prst="rect">
                      <a:avLst/>
                    </a:prstGeom>
                    <a:noFill/>
                    <a:ln>
                      <a:noFill/>
                    </a:ln>
                  </pic:spPr>
                </pic:pic>
              </a:graphicData>
            </a:graphic>
          </wp:inline>
        </w:drawing>
      </w:r>
    </w:p>
    <w:p w14:paraId="18243806" w14:textId="77777777" w:rsidR="00A51097" w:rsidRDefault="00A51097" w:rsidP="00A51097">
      <w:pPr>
        <w:spacing w:before="0" w:after="0"/>
        <w:rPr>
          <w:sz w:val="22"/>
          <w:szCs w:val="22"/>
        </w:rPr>
      </w:pPr>
    </w:p>
    <w:p w14:paraId="40860536" w14:textId="77777777" w:rsidR="003B626E" w:rsidRDefault="003B626E" w:rsidP="003B626E">
      <w:pPr>
        <w:spacing w:before="0" w:after="0"/>
        <w:ind w:left="360"/>
        <w:rPr>
          <w:sz w:val="22"/>
          <w:szCs w:val="22"/>
        </w:rPr>
      </w:pPr>
    </w:p>
    <w:p w14:paraId="7082C9F2" w14:textId="77777777" w:rsidR="001F0C67" w:rsidRDefault="001F0C67" w:rsidP="003B626E">
      <w:pPr>
        <w:spacing w:before="0" w:after="0"/>
        <w:ind w:left="360"/>
        <w:rPr>
          <w:sz w:val="22"/>
          <w:szCs w:val="22"/>
        </w:rPr>
      </w:pPr>
    </w:p>
    <w:p w14:paraId="648A473E" w14:textId="77777777" w:rsidR="00555F5C" w:rsidRPr="00BC68ED" w:rsidRDefault="00555F5C" w:rsidP="00555F5C">
      <w:pPr>
        <w:rPr>
          <w:b/>
          <w:color w:val="008000"/>
          <w:sz w:val="32"/>
        </w:rPr>
      </w:pPr>
      <w:r w:rsidRPr="00BC68ED">
        <w:rPr>
          <w:b/>
          <w:color w:val="008000"/>
          <w:sz w:val="32"/>
        </w:rPr>
        <w:t>Income</w:t>
      </w:r>
    </w:p>
    <w:p w14:paraId="27DBF8F5" w14:textId="77777777" w:rsidR="002426F8" w:rsidRDefault="002426F8" w:rsidP="002426F8">
      <w:pPr>
        <w:numPr>
          <w:ilvl w:val="0"/>
          <w:numId w:val="13"/>
        </w:numPr>
        <w:spacing w:before="0" w:after="0"/>
        <w:rPr>
          <w:sz w:val="22"/>
          <w:szCs w:val="22"/>
        </w:rPr>
      </w:pPr>
      <w:r>
        <w:rPr>
          <w:sz w:val="22"/>
          <w:szCs w:val="22"/>
        </w:rPr>
        <w:t>At the 2021 Census, l</w:t>
      </w:r>
      <w:r w:rsidRPr="00175B16">
        <w:rPr>
          <w:sz w:val="22"/>
          <w:szCs w:val="22"/>
        </w:rPr>
        <w:t xml:space="preserve">ow income households comprise the largest proportion of all households in </w:t>
      </w:r>
      <w:r>
        <w:rPr>
          <w:sz w:val="22"/>
          <w:szCs w:val="22"/>
        </w:rPr>
        <w:t xml:space="preserve">the Rest of NSW and </w:t>
      </w:r>
      <w:r w:rsidR="007A1361">
        <w:rPr>
          <w:sz w:val="22"/>
          <w:szCs w:val="22"/>
        </w:rPr>
        <w:t>every South and East Tablelands</w:t>
      </w:r>
      <w:r w:rsidRPr="00175B16">
        <w:rPr>
          <w:sz w:val="22"/>
          <w:szCs w:val="22"/>
        </w:rPr>
        <w:t xml:space="preserve"> region LGA</w:t>
      </w:r>
      <w:r>
        <w:rPr>
          <w:sz w:val="22"/>
          <w:szCs w:val="22"/>
        </w:rPr>
        <w:t xml:space="preserve">, with the exception of </w:t>
      </w:r>
      <w:r w:rsidR="007A1361">
        <w:rPr>
          <w:sz w:val="22"/>
          <w:szCs w:val="22"/>
        </w:rPr>
        <w:t>Queanbeyan-</w:t>
      </w:r>
      <w:proofErr w:type="spellStart"/>
      <w:r w:rsidR="007A1361">
        <w:rPr>
          <w:sz w:val="22"/>
          <w:szCs w:val="22"/>
        </w:rPr>
        <w:t>Palerang</w:t>
      </w:r>
      <w:proofErr w:type="spellEnd"/>
      <w:r w:rsidRPr="00175B16">
        <w:rPr>
          <w:sz w:val="22"/>
          <w:szCs w:val="22"/>
        </w:rPr>
        <w:t>.</w:t>
      </w:r>
    </w:p>
    <w:p w14:paraId="3CEA83E7" w14:textId="77777777" w:rsidR="002426F8" w:rsidRDefault="007A1361" w:rsidP="002426F8">
      <w:pPr>
        <w:numPr>
          <w:ilvl w:val="0"/>
          <w:numId w:val="13"/>
        </w:numPr>
        <w:spacing w:before="0" w:after="0"/>
        <w:rPr>
          <w:sz w:val="22"/>
          <w:szCs w:val="22"/>
        </w:rPr>
      </w:pPr>
      <w:r>
        <w:rPr>
          <w:sz w:val="22"/>
          <w:szCs w:val="22"/>
        </w:rPr>
        <w:t>Hilltops (61.8%), Bega Valley (61.1%),</w:t>
      </w:r>
      <w:r w:rsidR="00AA6733">
        <w:rPr>
          <w:sz w:val="22"/>
          <w:szCs w:val="22"/>
        </w:rPr>
        <w:t xml:space="preserve"> Upper Lachlan (51.6%) and </w:t>
      </w:r>
      <w:r>
        <w:rPr>
          <w:sz w:val="22"/>
          <w:szCs w:val="22"/>
        </w:rPr>
        <w:t>Goulburn-</w:t>
      </w:r>
      <w:proofErr w:type="spellStart"/>
      <w:r>
        <w:rPr>
          <w:sz w:val="22"/>
          <w:szCs w:val="22"/>
        </w:rPr>
        <w:t>Mulwaree</w:t>
      </w:r>
      <w:proofErr w:type="spellEnd"/>
      <w:r>
        <w:rPr>
          <w:sz w:val="22"/>
          <w:szCs w:val="22"/>
        </w:rPr>
        <w:t xml:space="preserve"> (</w:t>
      </w:r>
      <w:r w:rsidR="00AA6733">
        <w:rPr>
          <w:sz w:val="22"/>
          <w:szCs w:val="22"/>
        </w:rPr>
        <w:t xml:space="preserve">51.2%) all </w:t>
      </w:r>
      <w:r w:rsidR="002426F8" w:rsidRPr="00175B16">
        <w:rPr>
          <w:sz w:val="22"/>
          <w:szCs w:val="22"/>
        </w:rPr>
        <w:t>have a higher proportion of low income households than the</w:t>
      </w:r>
      <w:r w:rsidR="002426F8">
        <w:rPr>
          <w:sz w:val="22"/>
          <w:szCs w:val="22"/>
        </w:rPr>
        <w:t xml:space="preserve"> average for the Rest of NSW (49.3%).  Across the region the proportion of low income households ranges from </w:t>
      </w:r>
      <w:r w:rsidR="00AA6733">
        <w:rPr>
          <w:sz w:val="22"/>
          <w:szCs w:val="22"/>
        </w:rPr>
        <w:t>1</w:t>
      </w:r>
      <w:r w:rsidR="002426F8">
        <w:rPr>
          <w:sz w:val="22"/>
          <w:szCs w:val="22"/>
        </w:rPr>
        <w:t xml:space="preserve">9.4% in </w:t>
      </w:r>
      <w:r w:rsidR="00AA6733">
        <w:rPr>
          <w:sz w:val="22"/>
          <w:szCs w:val="22"/>
        </w:rPr>
        <w:t>Queanbeyan-</w:t>
      </w:r>
      <w:proofErr w:type="spellStart"/>
      <w:r w:rsidR="00AA6733">
        <w:rPr>
          <w:sz w:val="22"/>
          <w:szCs w:val="22"/>
        </w:rPr>
        <w:t>Palerang</w:t>
      </w:r>
      <w:proofErr w:type="spellEnd"/>
      <w:r w:rsidR="002426F8">
        <w:rPr>
          <w:sz w:val="22"/>
          <w:szCs w:val="22"/>
        </w:rPr>
        <w:t xml:space="preserve"> to 6</w:t>
      </w:r>
      <w:r w:rsidR="00AA6733">
        <w:rPr>
          <w:sz w:val="22"/>
          <w:szCs w:val="22"/>
        </w:rPr>
        <w:t>1.8</w:t>
      </w:r>
      <w:r w:rsidR="002426F8">
        <w:rPr>
          <w:sz w:val="22"/>
          <w:szCs w:val="22"/>
        </w:rPr>
        <w:t xml:space="preserve">% in </w:t>
      </w:r>
      <w:r w:rsidR="00AA6733">
        <w:rPr>
          <w:sz w:val="22"/>
          <w:szCs w:val="22"/>
        </w:rPr>
        <w:t>Hilltops</w:t>
      </w:r>
      <w:r w:rsidR="002426F8">
        <w:rPr>
          <w:sz w:val="22"/>
          <w:szCs w:val="22"/>
        </w:rPr>
        <w:t>.</w:t>
      </w:r>
    </w:p>
    <w:p w14:paraId="0BD317E7" w14:textId="77777777" w:rsidR="002426F8" w:rsidRPr="00175B16" w:rsidRDefault="002426F8" w:rsidP="002426F8">
      <w:pPr>
        <w:numPr>
          <w:ilvl w:val="0"/>
          <w:numId w:val="13"/>
        </w:numPr>
        <w:spacing w:before="0" w:after="0"/>
        <w:rPr>
          <w:sz w:val="22"/>
          <w:szCs w:val="22"/>
        </w:rPr>
      </w:pPr>
      <w:r w:rsidRPr="00175B16">
        <w:rPr>
          <w:sz w:val="22"/>
          <w:szCs w:val="22"/>
        </w:rPr>
        <w:t>Moderate income households in the Rest of NSW comprise 21.</w:t>
      </w:r>
      <w:r w:rsidR="002E4E20">
        <w:rPr>
          <w:sz w:val="22"/>
          <w:szCs w:val="22"/>
        </w:rPr>
        <w:t>5</w:t>
      </w:r>
      <w:r w:rsidRPr="00175B16">
        <w:rPr>
          <w:sz w:val="22"/>
          <w:szCs w:val="22"/>
        </w:rPr>
        <w:t xml:space="preserve">% of all households, while in </w:t>
      </w:r>
      <w:r>
        <w:rPr>
          <w:sz w:val="22"/>
          <w:szCs w:val="22"/>
        </w:rPr>
        <w:t xml:space="preserve">the </w:t>
      </w:r>
      <w:r w:rsidR="00AA6733">
        <w:rPr>
          <w:sz w:val="22"/>
          <w:szCs w:val="22"/>
        </w:rPr>
        <w:t>South and East Tablelands</w:t>
      </w:r>
      <w:r w:rsidRPr="00175B16">
        <w:rPr>
          <w:sz w:val="22"/>
          <w:szCs w:val="22"/>
        </w:rPr>
        <w:t xml:space="preserve"> they range from </w:t>
      </w:r>
      <w:r w:rsidR="00AA6733">
        <w:rPr>
          <w:sz w:val="22"/>
          <w:szCs w:val="22"/>
        </w:rPr>
        <w:t>15.2</w:t>
      </w:r>
      <w:r w:rsidRPr="00175B16">
        <w:rPr>
          <w:sz w:val="22"/>
          <w:szCs w:val="22"/>
        </w:rPr>
        <w:t xml:space="preserve">% in </w:t>
      </w:r>
      <w:r w:rsidR="00AA6733">
        <w:rPr>
          <w:sz w:val="22"/>
          <w:szCs w:val="22"/>
        </w:rPr>
        <w:t xml:space="preserve">Queanbeyan </w:t>
      </w:r>
      <w:proofErr w:type="spellStart"/>
      <w:r w:rsidR="00AA6733">
        <w:rPr>
          <w:sz w:val="22"/>
          <w:szCs w:val="22"/>
        </w:rPr>
        <w:t>Palerang</w:t>
      </w:r>
      <w:proofErr w:type="spellEnd"/>
      <w:r>
        <w:rPr>
          <w:sz w:val="22"/>
          <w:szCs w:val="22"/>
        </w:rPr>
        <w:t xml:space="preserve"> </w:t>
      </w:r>
      <w:r w:rsidRPr="00175B16">
        <w:rPr>
          <w:sz w:val="22"/>
          <w:szCs w:val="22"/>
        </w:rPr>
        <w:t>to 2</w:t>
      </w:r>
      <w:r>
        <w:rPr>
          <w:sz w:val="22"/>
          <w:szCs w:val="22"/>
        </w:rPr>
        <w:t>2</w:t>
      </w:r>
      <w:r w:rsidR="00AA6733">
        <w:rPr>
          <w:sz w:val="22"/>
          <w:szCs w:val="22"/>
        </w:rPr>
        <w:t>.7</w:t>
      </w:r>
      <w:r w:rsidRPr="00175B16">
        <w:rPr>
          <w:sz w:val="22"/>
          <w:szCs w:val="22"/>
        </w:rPr>
        <w:t xml:space="preserve">% in </w:t>
      </w:r>
      <w:r w:rsidR="00AA6733">
        <w:rPr>
          <w:sz w:val="22"/>
          <w:szCs w:val="22"/>
        </w:rPr>
        <w:t>Eurobodalla</w:t>
      </w:r>
      <w:r w:rsidRPr="00175B16">
        <w:rPr>
          <w:sz w:val="22"/>
          <w:szCs w:val="22"/>
        </w:rPr>
        <w:t>.</w:t>
      </w:r>
    </w:p>
    <w:p w14:paraId="3C48AA5F" w14:textId="77777777" w:rsidR="002426F8" w:rsidRDefault="002426F8" w:rsidP="002426F8">
      <w:pPr>
        <w:numPr>
          <w:ilvl w:val="0"/>
          <w:numId w:val="13"/>
        </w:numPr>
        <w:spacing w:before="0" w:after="0"/>
        <w:rPr>
          <w:sz w:val="22"/>
          <w:szCs w:val="22"/>
        </w:rPr>
      </w:pPr>
      <w:r w:rsidRPr="00175B16">
        <w:rPr>
          <w:sz w:val="22"/>
          <w:szCs w:val="22"/>
        </w:rPr>
        <w:t xml:space="preserve">High income households comprise </w:t>
      </w:r>
      <w:r w:rsidR="002E4E20">
        <w:rPr>
          <w:sz w:val="22"/>
          <w:szCs w:val="22"/>
        </w:rPr>
        <w:t>29.</w:t>
      </w:r>
      <w:r w:rsidR="00B02B2F">
        <w:rPr>
          <w:sz w:val="22"/>
          <w:szCs w:val="22"/>
        </w:rPr>
        <w:t>2</w:t>
      </w:r>
      <w:r w:rsidRPr="00175B16">
        <w:rPr>
          <w:sz w:val="22"/>
          <w:szCs w:val="22"/>
        </w:rPr>
        <w:t xml:space="preserve">% of all households in the Rest of NSW and in </w:t>
      </w:r>
      <w:r>
        <w:rPr>
          <w:sz w:val="22"/>
          <w:szCs w:val="22"/>
        </w:rPr>
        <w:t xml:space="preserve">the </w:t>
      </w:r>
      <w:r w:rsidR="00AA6733">
        <w:rPr>
          <w:sz w:val="22"/>
          <w:szCs w:val="22"/>
        </w:rPr>
        <w:t>South and East Tablelands LGAs</w:t>
      </w:r>
      <w:r w:rsidRPr="00175B16">
        <w:rPr>
          <w:sz w:val="22"/>
          <w:szCs w:val="22"/>
        </w:rPr>
        <w:t xml:space="preserve"> range between </w:t>
      </w:r>
      <w:r w:rsidR="00AA6733">
        <w:rPr>
          <w:sz w:val="22"/>
          <w:szCs w:val="22"/>
        </w:rPr>
        <w:t>18.4</w:t>
      </w:r>
      <w:r w:rsidRPr="00175B16">
        <w:rPr>
          <w:sz w:val="22"/>
          <w:szCs w:val="22"/>
        </w:rPr>
        <w:t xml:space="preserve">% in </w:t>
      </w:r>
      <w:r w:rsidR="00AA6733">
        <w:rPr>
          <w:sz w:val="22"/>
          <w:szCs w:val="22"/>
        </w:rPr>
        <w:t>Hilltops</w:t>
      </w:r>
      <w:r w:rsidRPr="00175B16">
        <w:rPr>
          <w:sz w:val="22"/>
          <w:szCs w:val="22"/>
        </w:rPr>
        <w:t xml:space="preserve"> and </w:t>
      </w:r>
      <w:r>
        <w:rPr>
          <w:sz w:val="22"/>
          <w:szCs w:val="22"/>
        </w:rPr>
        <w:t>6</w:t>
      </w:r>
      <w:r w:rsidR="00AA6733">
        <w:rPr>
          <w:sz w:val="22"/>
          <w:szCs w:val="22"/>
        </w:rPr>
        <w:t>5.4</w:t>
      </w:r>
      <w:r w:rsidRPr="00175B16">
        <w:rPr>
          <w:sz w:val="22"/>
          <w:szCs w:val="22"/>
        </w:rPr>
        <w:t xml:space="preserve">% in </w:t>
      </w:r>
      <w:r w:rsidR="00AA6733">
        <w:rPr>
          <w:sz w:val="22"/>
          <w:szCs w:val="22"/>
        </w:rPr>
        <w:t>Queanbeyan-</w:t>
      </w:r>
      <w:proofErr w:type="spellStart"/>
      <w:r w:rsidR="00AA6733">
        <w:rPr>
          <w:sz w:val="22"/>
          <w:szCs w:val="22"/>
        </w:rPr>
        <w:t>Palerang</w:t>
      </w:r>
      <w:proofErr w:type="spellEnd"/>
      <w:r w:rsidRPr="00175B16">
        <w:rPr>
          <w:sz w:val="22"/>
          <w:szCs w:val="22"/>
        </w:rPr>
        <w:t>.</w:t>
      </w:r>
      <w:r w:rsidR="00516885">
        <w:rPr>
          <w:sz w:val="22"/>
          <w:szCs w:val="22"/>
        </w:rPr>
        <w:t xml:space="preserve">  Apart from Queanbeyan-</w:t>
      </w:r>
      <w:proofErr w:type="spellStart"/>
      <w:r w:rsidR="00516885">
        <w:rPr>
          <w:sz w:val="22"/>
          <w:szCs w:val="22"/>
        </w:rPr>
        <w:t>Palerang</w:t>
      </w:r>
      <w:proofErr w:type="spellEnd"/>
      <w:r w:rsidR="00516885">
        <w:rPr>
          <w:sz w:val="22"/>
          <w:szCs w:val="22"/>
        </w:rPr>
        <w:t xml:space="preserve">, </w:t>
      </w:r>
      <w:proofErr w:type="spellStart"/>
      <w:r w:rsidR="00516885">
        <w:rPr>
          <w:sz w:val="22"/>
          <w:szCs w:val="22"/>
        </w:rPr>
        <w:t>Wingecarribee</w:t>
      </w:r>
      <w:proofErr w:type="spellEnd"/>
      <w:r w:rsidR="00516885">
        <w:rPr>
          <w:sz w:val="22"/>
          <w:szCs w:val="22"/>
        </w:rPr>
        <w:t xml:space="preserve"> (46.9%) and Snowy Regional and Yass Valley (46.2%) have higher proportions of high income households than the Rest of NSW average.</w:t>
      </w:r>
    </w:p>
    <w:p w14:paraId="4ABCD3DB" w14:textId="77777777" w:rsidR="002426F8" w:rsidRDefault="002426F8" w:rsidP="002426F8">
      <w:pPr>
        <w:numPr>
          <w:ilvl w:val="0"/>
          <w:numId w:val="13"/>
        </w:numPr>
        <w:spacing w:before="0" w:after="0"/>
        <w:rPr>
          <w:sz w:val="22"/>
          <w:szCs w:val="22"/>
        </w:rPr>
      </w:pPr>
      <w:r>
        <w:rPr>
          <w:sz w:val="22"/>
          <w:szCs w:val="22"/>
        </w:rPr>
        <w:t xml:space="preserve">The graph below shows the proportion of low, moderate and high income households in all the </w:t>
      </w:r>
      <w:r w:rsidR="005361BF">
        <w:rPr>
          <w:sz w:val="22"/>
          <w:szCs w:val="22"/>
        </w:rPr>
        <w:t>South and East Tablelands</w:t>
      </w:r>
      <w:r>
        <w:rPr>
          <w:sz w:val="22"/>
          <w:szCs w:val="22"/>
        </w:rPr>
        <w:t xml:space="preserve"> LGAs, compared with the Region and Rest of NSW at the 2021 Census.</w:t>
      </w:r>
    </w:p>
    <w:p w14:paraId="49184E20" w14:textId="77777777" w:rsidR="002426F8" w:rsidRDefault="002426F8" w:rsidP="002426F8">
      <w:pPr>
        <w:spacing w:before="0" w:after="0"/>
        <w:rPr>
          <w:sz w:val="22"/>
          <w:szCs w:val="22"/>
        </w:rPr>
      </w:pPr>
    </w:p>
    <w:p w14:paraId="447A0C19" w14:textId="77777777" w:rsidR="002426F8" w:rsidRDefault="002426F8" w:rsidP="002426F8">
      <w:pPr>
        <w:spacing w:before="0" w:after="0"/>
        <w:rPr>
          <w:noProof/>
          <w:sz w:val="22"/>
          <w:szCs w:val="22"/>
        </w:rPr>
      </w:pPr>
    </w:p>
    <w:p w14:paraId="192EF932" w14:textId="77777777" w:rsidR="00B02B2F" w:rsidRDefault="00B02B2F" w:rsidP="002426F8">
      <w:pPr>
        <w:spacing w:before="0" w:after="0"/>
        <w:rPr>
          <w:sz w:val="22"/>
          <w:szCs w:val="22"/>
        </w:rPr>
      </w:pPr>
      <w:r>
        <w:rPr>
          <w:noProof/>
          <w:sz w:val="22"/>
          <w:szCs w:val="22"/>
        </w:rPr>
        <w:lastRenderedPageBreak/>
        <w:drawing>
          <wp:inline distT="0" distB="0" distL="0" distR="0" wp14:anchorId="6C9E6A20" wp14:editId="145A34CE">
            <wp:extent cx="6045200" cy="3014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0463" cy="3016836"/>
                    </a:xfrm>
                    <a:prstGeom prst="rect">
                      <a:avLst/>
                    </a:prstGeom>
                    <a:noFill/>
                  </pic:spPr>
                </pic:pic>
              </a:graphicData>
            </a:graphic>
          </wp:inline>
        </w:drawing>
      </w:r>
    </w:p>
    <w:p w14:paraId="3A1AAC09" w14:textId="77777777" w:rsidR="002426F8" w:rsidRDefault="002426F8" w:rsidP="002426F8">
      <w:pPr>
        <w:spacing w:before="0" w:after="0"/>
        <w:rPr>
          <w:sz w:val="22"/>
          <w:szCs w:val="22"/>
        </w:rPr>
      </w:pPr>
    </w:p>
    <w:p w14:paraId="2C46A9F1" w14:textId="77777777" w:rsidR="002426F8" w:rsidRDefault="002426F8" w:rsidP="002426F8">
      <w:pPr>
        <w:spacing w:before="0" w:after="0"/>
        <w:rPr>
          <w:sz w:val="22"/>
          <w:szCs w:val="22"/>
        </w:rPr>
      </w:pPr>
    </w:p>
    <w:p w14:paraId="2DF23FC5" w14:textId="77777777" w:rsidR="003C13B4" w:rsidRPr="005659A2" w:rsidRDefault="003C13B4" w:rsidP="00941EAE">
      <w:pPr>
        <w:numPr>
          <w:ilvl w:val="0"/>
          <w:numId w:val="25"/>
        </w:numPr>
        <w:spacing w:before="0" w:after="0"/>
        <w:ind w:left="360"/>
        <w:rPr>
          <w:sz w:val="22"/>
          <w:szCs w:val="22"/>
        </w:rPr>
      </w:pPr>
      <w:r w:rsidRPr="005659A2">
        <w:rPr>
          <w:sz w:val="22"/>
          <w:szCs w:val="22"/>
        </w:rPr>
        <w:t xml:space="preserve">Between 2016 and 2021 while the number of low income households increased in the </w:t>
      </w:r>
      <w:r w:rsidR="005659A2" w:rsidRPr="005659A2">
        <w:rPr>
          <w:sz w:val="22"/>
          <w:szCs w:val="22"/>
        </w:rPr>
        <w:t>South and East Tablelands</w:t>
      </w:r>
      <w:r w:rsidRPr="005659A2">
        <w:rPr>
          <w:sz w:val="22"/>
          <w:szCs w:val="22"/>
        </w:rPr>
        <w:t xml:space="preserve"> as a whole, the number of low income households declined in </w:t>
      </w:r>
      <w:r w:rsidR="005659A2" w:rsidRPr="005659A2">
        <w:rPr>
          <w:sz w:val="22"/>
          <w:szCs w:val="22"/>
        </w:rPr>
        <w:t>Eurobodalla, Queanbeyan-</w:t>
      </w:r>
      <w:proofErr w:type="spellStart"/>
      <w:r w:rsidR="005659A2" w:rsidRPr="005659A2">
        <w:rPr>
          <w:sz w:val="22"/>
          <w:szCs w:val="22"/>
        </w:rPr>
        <w:t>Palerang</w:t>
      </w:r>
      <w:proofErr w:type="spellEnd"/>
      <w:r w:rsidR="005659A2" w:rsidRPr="005659A2">
        <w:rPr>
          <w:sz w:val="22"/>
          <w:szCs w:val="22"/>
        </w:rPr>
        <w:t xml:space="preserve">, Snowy Monaro Regional and </w:t>
      </w:r>
      <w:proofErr w:type="spellStart"/>
      <w:r w:rsidR="005659A2" w:rsidRPr="005659A2">
        <w:rPr>
          <w:sz w:val="22"/>
          <w:szCs w:val="22"/>
        </w:rPr>
        <w:t>Wingecarribee</w:t>
      </w:r>
      <w:proofErr w:type="spellEnd"/>
      <w:r w:rsidR="005659A2" w:rsidRPr="005659A2">
        <w:rPr>
          <w:sz w:val="22"/>
          <w:szCs w:val="22"/>
        </w:rPr>
        <w:t xml:space="preserve">.  </w:t>
      </w:r>
      <w:r w:rsidR="005659A2">
        <w:rPr>
          <w:sz w:val="22"/>
          <w:szCs w:val="22"/>
        </w:rPr>
        <w:t>The number of low income households</w:t>
      </w:r>
      <w:r w:rsidRPr="005659A2">
        <w:rPr>
          <w:sz w:val="22"/>
          <w:szCs w:val="22"/>
        </w:rPr>
        <w:t xml:space="preserve"> increased in</w:t>
      </w:r>
      <w:r w:rsidR="005659A2">
        <w:rPr>
          <w:sz w:val="22"/>
          <w:szCs w:val="22"/>
        </w:rPr>
        <w:t xml:space="preserve"> all the other LGAs in the region</w:t>
      </w:r>
      <w:r w:rsidRPr="005659A2">
        <w:rPr>
          <w:sz w:val="22"/>
          <w:szCs w:val="22"/>
        </w:rPr>
        <w:t xml:space="preserve">.  </w:t>
      </w:r>
    </w:p>
    <w:p w14:paraId="41852B67" w14:textId="77777777" w:rsidR="003C13B4" w:rsidRDefault="003C13B4" w:rsidP="003C13B4">
      <w:pPr>
        <w:numPr>
          <w:ilvl w:val="0"/>
          <w:numId w:val="25"/>
        </w:numPr>
        <w:spacing w:before="0" w:after="0"/>
        <w:ind w:left="360"/>
        <w:rPr>
          <w:sz w:val="22"/>
          <w:szCs w:val="22"/>
        </w:rPr>
      </w:pPr>
      <w:r>
        <w:rPr>
          <w:sz w:val="22"/>
          <w:szCs w:val="22"/>
        </w:rPr>
        <w:t xml:space="preserve">Over the same period, the number of moderate income households increased in every </w:t>
      </w:r>
      <w:r w:rsidR="00F30525">
        <w:rPr>
          <w:sz w:val="22"/>
          <w:szCs w:val="22"/>
        </w:rPr>
        <w:t>South and East Tablelands</w:t>
      </w:r>
      <w:r>
        <w:rPr>
          <w:sz w:val="22"/>
          <w:szCs w:val="22"/>
        </w:rPr>
        <w:t xml:space="preserve"> LGA.</w:t>
      </w:r>
    </w:p>
    <w:p w14:paraId="2CDEE928" w14:textId="77777777" w:rsidR="00F7308A" w:rsidRDefault="003C13B4" w:rsidP="003C13B4">
      <w:pPr>
        <w:numPr>
          <w:ilvl w:val="0"/>
          <w:numId w:val="25"/>
        </w:numPr>
        <w:spacing w:before="0" w:after="0"/>
        <w:ind w:left="360"/>
        <w:rPr>
          <w:sz w:val="22"/>
          <w:szCs w:val="22"/>
        </w:rPr>
      </w:pPr>
      <w:r>
        <w:rPr>
          <w:sz w:val="22"/>
          <w:szCs w:val="22"/>
        </w:rPr>
        <w:t xml:space="preserve">While the number of high income households increased overall in the region, the number of high income households declined in </w:t>
      </w:r>
      <w:r w:rsidR="00F7308A">
        <w:rPr>
          <w:sz w:val="22"/>
          <w:szCs w:val="22"/>
        </w:rPr>
        <w:t>Bega Valley, Goulburn-</w:t>
      </w:r>
      <w:proofErr w:type="spellStart"/>
      <w:r w:rsidR="00F7308A">
        <w:rPr>
          <w:sz w:val="22"/>
          <w:szCs w:val="22"/>
        </w:rPr>
        <w:t>Mulwaree</w:t>
      </w:r>
      <w:proofErr w:type="spellEnd"/>
      <w:r w:rsidR="00F7308A">
        <w:rPr>
          <w:sz w:val="22"/>
          <w:szCs w:val="22"/>
        </w:rPr>
        <w:t>, Hilltops, Upper Lachlan and Yass Valley (and increased elsewhere).</w:t>
      </w:r>
    </w:p>
    <w:p w14:paraId="7EA37C18" w14:textId="77777777" w:rsidR="003C13B4" w:rsidRDefault="003C13B4" w:rsidP="003C13B4">
      <w:pPr>
        <w:numPr>
          <w:ilvl w:val="0"/>
          <w:numId w:val="25"/>
        </w:numPr>
        <w:spacing w:before="0" w:after="0"/>
        <w:ind w:left="360"/>
        <w:rPr>
          <w:sz w:val="22"/>
          <w:szCs w:val="22"/>
        </w:rPr>
      </w:pPr>
      <w:r>
        <w:rPr>
          <w:sz w:val="22"/>
          <w:szCs w:val="22"/>
        </w:rPr>
        <w:t xml:space="preserve">The graph below shows the change in the proportion of low (including very low) income households from 2016 to 2021 in the </w:t>
      </w:r>
      <w:r w:rsidR="00F7308A">
        <w:rPr>
          <w:sz w:val="22"/>
          <w:szCs w:val="22"/>
        </w:rPr>
        <w:t>South and East Tablelands</w:t>
      </w:r>
      <w:r>
        <w:rPr>
          <w:sz w:val="22"/>
          <w:szCs w:val="22"/>
        </w:rPr>
        <w:t xml:space="preserve"> region.</w:t>
      </w:r>
    </w:p>
    <w:p w14:paraId="60DC9961" w14:textId="77777777" w:rsidR="002426F8" w:rsidRDefault="002426F8" w:rsidP="002426F8">
      <w:pPr>
        <w:spacing w:before="0" w:after="0"/>
        <w:rPr>
          <w:sz w:val="22"/>
          <w:szCs w:val="22"/>
        </w:rPr>
      </w:pPr>
    </w:p>
    <w:p w14:paraId="09F51767" w14:textId="77777777" w:rsidR="003C13B4" w:rsidRDefault="003C13B4" w:rsidP="002426F8">
      <w:pPr>
        <w:spacing w:before="0" w:after="0"/>
        <w:rPr>
          <w:sz w:val="22"/>
          <w:szCs w:val="22"/>
        </w:rPr>
      </w:pPr>
    </w:p>
    <w:p w14:paraId="1A8F72E2" w14:textId="77777777" w:rsidR="003C13B4" w:rsidRDefault="003C13B4" w:rsidP="002426F8">
      <w:pPr>
        <w:spacing w:before="0" w:after="0"/>
        <w:rPr>
          <w:sz w:val="22"/>
          <w:szCs w:val="22"/>
        </w:rPr>
      </w:pPr>
      <w:r>
        <w:rPr>
          <w:noProof/>
          <w:sz w:val="22"/>
          <w:szCs w:val="22"/>
        </w:rPr>
        <w:lastRenderedPageBreak/>
        <w:drawing>
          <wp:inline distT="0" distB="0" distL="0" distR="0" wp14:anchorId="63A87AF5" wp14:editId="5181E4B7">
            <wp:extent cx="6054090" cy="3145718"/>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0744" cy="3154372"/>
                    </a:xfrm>
                    <a:prstGeom prst="rect">
                      <a:avLst/>
                    </a:prstGeom>
                    <a:noFill/>
                  </pic:spPr>
                </pic:pic>
              </a:graphicData>
            </a:graphic>
          </wp:inline>
        </w:drawing>
      </w:r>
    </w:p>
    <w:p w14:paraId="0C36FEE1" w14:textId="77777777" w:rsidR="003C13B4" w:rsidRDefault="003C13B4" w:rsidP="002426F8">
      <w:pPr>
        <w:spacing w:before="0" w:after="0"/>
        <w:rPr>
          <w:sz w:val="22"/>
          <w:szCs w:val="22"/>
        </w:rPr>
      </w:pPr>
    </w:p>
    <w:p w14:paraId="10428B45" w14:textId="77777777" w:rsidR="003C13B4" w:rsidRPr="003C13B4" w:rsidRDefault="003C13B4" w:rsidP="003C13B4">
      <w:pPr>
        <w:pStyle w:val="ListParagraph"/>
        <w:numPr>
          <w:ilvl w:val="0"/>
          <w:numId w:val="26"/>
        </w:numPr>
        <w:spacing w:before="0" w:after="0"/>
        <w:rPr>
          <w:sz w:val="22"/>
          <w:szCs w:val="22"/>
        </w:rPr>
      </w:pPr>
      <w:r>
        <w:rPr>
          <w:sz w:val="22"/>
          <w:szCs w:val="22"/>
        </w:rPr>
        <w:t>The graph below shows the numerical change in the number of low, moderate and high income households for the South and East Tablelands region as a whole, between 2016 and 2021.</w:t>
      </w:r>
    </w:p>
    <w:p w14:paraId="63E58E69" w14:textId="77777777" w:rsidR="003C13B4" w:rsidRDefault="003C13B4" w:rsidP="002426F8">
      <w:pPr>
        <w:spacing w:before="0" w:after="0"/>
        <w:rPr>
          <w:sz w:val="22"/>
          <w:szCs w:val="22"/>
        </w:rPr>
      </w:pPr>
    </w:p>
    <w:p w14:paraId="789542C2" w14:textId="77777777" w:rsidR="003C13B4" w:rsidRDefault="003C13B4" w:rsidP="002426F8">
      <w:pPr>
        <w:spacing w:before="0" w:after="0"/>
        <w:rPr>
          <w:sz w:val="22"/>
          <w:szCs w:val="22"/>
        </w:rPr>
      </w:pPr>
      <w:r>
        <w:rPr>
          <w:noProof/>
          <w:sz w:val="22"/>
          <w:szCs w:val="22"/>
        </w:rPr>
        <w:drawing>
          <wp:inline distT="0" distB="0" distL="0" distR="0" wp14:anchorId="7F3026E7" wp14:editId="755177BB">
            <wp:extent cx="6029325" cy="306912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3256" cy="3071129"/>
                    </a:xfrm>
                    <a:prstGeom prst="rect">
                      <a:avLst/>
                    </a:prstGeom>
                    <a:noFill/>
                  </pic:spPr>
                </pic:pic>
              </a:graphicData>
            </a:graphic>
          </wp:inline>
        </w:drawing>
      </w:r>
    </w:p>
    <w:p w14:paraId="112F0CE8" w14:textId="77777777" w:rsidR="003C13B4" w:rsidRDefault="003C13B4" w:rsidP="002426F8">
      <w:pPr>
        <w:spacing w:before="0" w:after="0"/>
        <w:rPr>
          <w:sz w:val="22"/>
          <w:szCs w:val="22"/>
        </w:rPr>
      </w:pPr>
    </w:p>
    <w:p w14:paraId="36CCF4E8" w14:textId="77777777" w:rsidR="006D3D39" w:rsidRDefault="006D3D39" w:rsidP="006D3D39">
      <w:pPr>
        <w:numPr>
          <w:ilvl w:val="0"/>
          <w:numId w:val="25"/>
        </w:numPr>
        <w:spacing w:before="0" w:after="0"/>
        <w:ind w:left="360"/>
        <w:rPr>
          <w:sz w:val="22"/>
          <w:szCs w:val="22"/>
        </w:rPr>
      </w:pPr>
      <w:r>
        <w:rPr>
          <w:sz w:val="22"/>
          <w:szCs w:val="22"/>
        </w:rPr>
        <w:t>However, despite the increase in the number of low income households between 2016 and 2021, all</w:t>
      </w:r>
      <w:r w:rsidRPr="00175B16">
        <w:rPr>
          <w:sz w:val="22"/>
          <w:szCs w:val="22"/>
        </w:rPr>
        <w:t xml:space="preserve"> </w:t>
      </w:r>
      <w:r>
        <w:rPr>
          <w:sz w:val="22"/>
          <w:szCs w:val="22"/>
        </w:rPr>
        <w:t xml:space="preserve">the </w:t>
      </w:r>
      <w:r w:rsidR="00F7308A">
        <w:rPr>
          <w:sz w:val="22"/>
          <w:szCs w:val="22"/>
        </w:rPr>
        <w:t>South and East Tablelands</w:t>
      </w:r>
      <w:r w:rsidRPr="00175B16">
        <w:rPr>
          <w:sz w:val="22"/>
          <w:szCs w:val="22"/>
        </w:rPr>
        <w:t xml:space="preserve"> LGAs experienced a strong </w:t>
      </w:r>
      <w:r>
        <w:rPr>
          <w:sz w:val="22"/>
          <w:szCs w:val="22"/>
        </w:rPr>
        <w:t>decline</w:t>
      </w:r>
      <w:r w:rsidRPr="00175B16">
        <w:rPr>
          <w:sz w:val="22"/>
          <w:szCs w:val="22"/>
        </w:rPr>
        <w:t xml:space="preserve"> in </w:t>
      </w:r>
      <w:r w:rsidRPr="00A75836">
        <w:rPr>
          <w:sz w:val="22"/>
          <w:szCs w:val="22"/>
          <w:u w:val="single"/>
        </w:rPr>
        <w:t>very low income</w:t>
      </w:r>
      <w:r w:rsidRPr="00175B16">
        <w:rPr>
          <w:sz w:val="22"/>
          <w:szCs w:val="22"/>
        </w:rPr>
        <w:t xml:space="preserve"> </w:t>
      </w:r>
      <w:r w:rsidRPr="00175B16">
        <w:rPr>
          <w:b/>
          <w:sz w:val="22"/>
          <w:szCs w:val="22"/>
        </w:rPr>
        <w:t>rental</w:t>
      </w:r>
      <w:r w:rsidRPr="00175B16">
        <w:rPr>
          <w:sz w:val="22"/>
          <w:szCs w:val="22"/>
        </w:rPr>
        <w:t xml:space="preserve"> households </w:t>
      </w:r>
      <w:r>
        <w:rPr>
          <w:sz w:val="22"/>
          <w:szCs w:val="22"/>
        </w:rPr>
        <w:t>over the same period, varying between a -</w:t>
      </w:r>
      <w:r w:rsidR="001E155D">
        <w:rPr>
          <w:sz w:val="22"/>
          <w:szCs w:val="22"/>
        </w:rPr>
        <w:t>51.5</w:t>
      </w:r>
      <w:r w:rsidRPr="00A75836">
        <w:rPr>
          <w:sz w:val="22"/>
          <w:szCs w:val="22"/>
        </w:rPr>
        <w:t xml:space="preserve">% decline in </w:t>
      </w:r>
      <w:r w:rsidR="001E155D">
        <w:rPr>
          <w:sz w:val="22"/>
          <w:szCs w:val="22"/>
        </w:rPr>
        <w:t>Yass Valley</w:t>
      </w:r>
      <w:r>
        <w:rPr>
          <w:sz w:val="22"/>
          <w:szCs w:val="22"/>
        </w:rPr>
        <w:t xml:space="preserve"> and a -1</w:t>
      </w:r>
      <w:r w:rsidR="001E155D">
        <w:rPr>
          <w:sz w:val="22"/>
          <w:szCs w:val="22"/>
        </w:rPr>
        <w:t>6.4</w:t>
      </w:r>
      <w:r>
        <w:rPr>
          <w:sz w:val="22"/>
          <w:szCs w:val="22"/>
        </w:rPr>
        <w:t xml:space="preserve">% decline in </w:t>
      </w:r>
      <w:proofErr w:type="spellStart"/>
      <w:r w:rsidR="001E155D">
        <w:rPr>
          <w:sz w:val="22"/>
          <w:szCs w:val="22"/>
        </w:rPr>
        <w:t>Wingecarribee</w:t>
      </w:r>
      <w:proofErr w:type="spellEnd"/>
      <w:r>
        <w:rPr>
          <w:sz w:val="22"/>
          <w:szCs w:val="22"/>
        </w:rPr>
        <w:t xml:space="preserve">.  </w:t>
      </w:r>
    </w:p>
    <w:p w14:paraId="6FDC2F63" w14:textId="77777777" w:rsidR="006D3D39" w:rsidRDefault="001E155D" w:rsidP="006D3D39">
      <w:pPr>
        <w:numPr>
          <w:ilvl w:val="0"/>
          <w:numId w:val="25"/>
        </w:numPr>
        <w:spacing w:before="0" w:after="0"/>
        <w:ind w:left="360"/>
        <w:rPr>
          <w:sz w:val="22"/>
          <w:szCs w:val="22"/>
        </w:rPr>
      </w:pPr>
      <w:r>
        <w:rPr>
          <w:sz w:val="22"/>
          <w:szCs w:val="22"/>
        </w:rPr>
        <w:t>Most</w:t>
      </w:r>
      <w:r w:rsidR="006D3D39">
        <w:rPr>
          <w:sz w:val="22"/>
          <w:szCs w:val="22"/>
        </w:rPr>
        <w:t xml:space="preserve"> also had declines in </w:t>
      </w:r>
      <w:r w:rsidR="006D3D39" w:rsidRPr="00A75836">
        <w:rPr>
          <w:sz w:val="22"/>
          <w:szCs w:val="22"/>
          <w:u w:val="single"/>
        </w:rPr>
        <w:t>low income</w:t>
      </w:r>
      <w:r w:rsidR="006D3D39">
        <w:rPr>
          <w:sz w:val="22"/>
          <w:szCs w:val="22"/>
        </w:rPr>
        <w:t xml:space="preserve"> </w:t>
      </w:r>
      <w:r w:rsidR="006D3D39">
        <w:rPr>
          <w:b/>
          <w:sz w:val="22"/>
          <w:szCs w:val="22"/>
        </w:rPr>
        <w:t>rental</w:t>
      </w:r>
      <w:r w:rsidR="006D3D39">
        <w:rPr>
          <w:sz w:val="22"/>
          <w:szCs w:val="22"/>
        </w:rPr>
        <w:t xml:space="preserve"> households over the same period, with </w:t>
      </w:r>
      <w:r>
        <w:rPr>
          <w:sz w:val="22"/>
          <w:szCs w:val="22"/>
        </w:rPr>
        <w:t>Yass Valley</w:t>
      </w:r>
      <w:r w:rsidR="006D3D39">
        <w:rPr>
          <w:sz w:val="22"/>
          <w:szCs w:val="22"/>
        </w:rPr>
        <w:t xml:space="preserve"> again having the largest proportional decline of -</w:t>
      </w:r>
      <w:r>
        <w:rPr>
          <w:sz w:val="22"/>
          <w:szCs w:val="22"/>
        </w:rPr>
        <w:t>27.7</w:t>
      </w:r>
      <w:r w:rsidR="006D3D39">
        <w:rPr>
          <w:sz w:val="22"/>
          <w:szCs w:val="22"/>
        </w:rPr>
        <w:t>%</w:t>
      </w:r>
      <w:r>
        <w:rPr>
          <w:sz w:val="22"/>
          <w:szCs w:val="22"/>
        </w:rPr>
        <w:t xml:space="preserve">, while </w:t>
      </w:r>
      <w:r w:rsidR="006D3D39">
        <w:rPr>
          <w:sz w:val="22"/>
          <w:szCs w:val="22"/>
        </w:rPr>
        <w:t xml:space="preserve"> </w:t>
      </w:r>
      <w:r>
        <w:rPr>
          <w:sz w:val="22"/>
          <w:szCs w:val="22"/>
        </w:rPr>
        <w:lastRenderedPageBreak/>
        <w:t>Goulburn-</w:t>
      </w:r>
      <w:proofErr w:type="spellStart"/>
      <w:r>
        <w:rPr>
          <w:sz w:val="22"/>
          <w:szCs w:val="22"/>
        </w:rPr>
        <w:t>Mulwaree</w:t>
      </w:r>
      <w:proofErr w:type="spellEnd"/>
      <w:r>
        <w:rPr>
          <w:sz w:val="22"/>
          <w:szCs w:val="22"/>
        </w:rPr>
        <w:t xml:space="preserve"> (5.0%) and Bega Valley (1.8%) were the only LGAs to experience an increase</w:t>
      </w:r>
      <w:r w:rsidR="006D3D39">
        <w:rPr>
          <w:sz w:val="22"/>
          <w:szCs w:val="22"/>
        </w:rPr>
        <w:t xml:space="preserve">.  </w:t>
      </w:r>
    </w:p>
    <w:p w14:paraId="6D12D143" w14:textId="328D1A59" w:rsidR="006D3D39" w:rsidRDefault="006D3D39" w:rsidP="006D3D39">
      <w:pPr>
        <w:numPr>
          <w:ilvl w:val="0"/>
          <w:numId w:val="25"/>
        </w:numPr>
        <w:spacing w:before="0" w:after="0"/>
        <w:ind w:left="360"/>
        <w:rPr>
          <w:sz w:val="22"/>
          <w:szCs w:val="22"/>
        </w:rPr>
      </w:pPr>
      <w:r>
        <w:rPr>
          <w:sz w:val="22"/>
          <w:szCs w:val="22"/>
        </w:rPr>
        <w:t>The reduction in both very low (-1,</w:t>
      </w:r>
      <w:r w:rsidR="001E155D">
        <w:rPr>
          <w:sz w:val="22"/>
          <w:szCs w:val="22"/>
        </w:rPr>
        <w:t>379) and low income renters (-382</w:t>
      </w:r>
      <w:r>
        <w:rPr>
          <w:sz w:val="22"/>
          <w:szCs w:val="22"/>
        </w:rPr>
        <w:t xml:space="preserve">) across the </w:t>
      </w:r>
      <w:r w:rsidR="001E155D">
        <w:rPr>
          <w:sz w:val="22"/>
          <w:szCs w:val="22"/>
        </w:rPr>
        <w:t>South and East Tablelands</w:t>
      </w:r>
      <w:r>
        <w:rPr>
          <w:sz w:val="22"/>
          <w:szCs w:val="22"/>
        </w:rPr>
        <w:t xml:space="preserve"> region </w:t>
      </w:r>
      <w:r w:rsidR="00484B78" w:rsidRPr="007E146A">
        <w:rPr>
          <w:sz w:val="22"/>
          <w:szCs w:val="22"/>
        </w:rPr>
        <w:t>is likely due to the additional Commonwealth financial assistance</w:t>
      </w:r>
      <w:r w:rsidR="007E146A">
        <w:rPr>
          <w:sz w:val="22"/>
          <w:szCs w:val="22"/>
        </w:rPr>
        <w:t xml:space="preserve"> to renters during the pandemic and may therefore be temporary as this </w:t>
      </w:r>
      <w:r w:rsidR="00484B78" w:rsidRPr="007E146A">
        <w:rPr>
          <w:sz w:val="22"/>
          <w:szCs w:val="22"/>
        </w:rPr>
        <w:t xml:space="preserve">has subsequently been discontinued, as explained in the What’s Happening in the Housing Market” snapshot for the South and East Tablelands.    </w:t>
      </w:r>
      <w:r w:rsidR="007E146A">
        <w:rPr>
          <w:sz w:val="22"/>
          <w:szCs w:val="22"/>
        </w:rPr>
        <w:t>It is also likely that</w:t>
      </w:r>
      <w:r w:rsidRPr="007E146A">
        <w:rPr>
          <w:sz w:val="22"/>
          <w:szCs w:val="22"/>
        </w:rPr>
        <w:t xml:space="preserve"> lower income rental households have been priced out of the region and/or</w:t>
      </w:r>
      <w:r w:rsidR="007E146A">
        <w:rPr>
          <w:sz w:val="22"/>
          <w:szCs w:val="22"/>
        </w:rPr>
        <w:t xml:space="preserve"> impacted by the</w:t>
      </w:r>
      <w:r w:rsidRPr="007E146A">
        <w:rPr>
          <w:sz w:val="22"/>
          <w:szCs w:val="22"/>
        </w:rPr>
        <w:t xml:space="preserve"> loss of long term rental to short term rental or home purchase/ownership.  The snapshot of What’s Happening in the Housing Market shows the significant decline in the proportion of private rental that is affordable to very low income households.</w:t>
      </w:r>
    </w:p>
    <w:p w14:paraId="05F2F18D" w14:textId="77777777" w:rsidR="007E146A" w:rsidRPr="007E146A" w:rsidRDefault="007E146A" w:rsidP="006D3D39">
      <w:pPr>
        <w:numPr>
          <w:ilvl w:val="0"/>
          <w:numId w:val="25"/>
        </w:numPr>
        <w:spacing w:before="0" w:after="0"/>
        <w:ind w:left="360"/>
        <w:rPr>
          <w:sz w:val="22"/>
          <w:szCs w:val="22"/>
        </w:rPr>
      </w:pPr>
      <w:r>
        <w:rPr>
          <w:sz w:val="22"/>
          <w:szCs w:val="22"/>
        </w:rPr>
        <w:t xml:space="preserve">These changes </w:t>
      </w:r>
      <w:r w:rsidRPr="00175B16">
        <w:rPr>
          <w:sz w:val="22"/>
          <w:szCs w:val="22"/>
        </w:rPr>
        <w:t>underlin</w:t>
      </w:r>
      <w:r>
        <w:rPr>
          <w:sz w:val="22"/>
          <w:szCs w:val="22"/>
        </w:rPr>
        <w:t>e</w:t>
      </w:r>
      <w:r w:rsidRPr="00175B16">
        <w:rPr>
          <w:sz w:val="22"/>
          <w:szCs w:val="22"/>
        </w:rPr>
        <w:t xml:space="preserve"> the need to consider tenure as well as price point when considering responses to meet housing</w:t>
      </w:r>
      <w:r>
        <w:rPr>
          <w:sz w:val="22"/>
          <w:szCs w:val="22"/>
        </w:rPr>
        <w:t xml:space="preserve"> need</w:t>
      </w:r>
      <w:r w:rsidRPr="00175B16">
        <w:rPr>
          <w:sz w:val="22"/>
          <w:szCs w:val="22"/>
        </w:rPr>
        <w:t>.</w:t>
      </w:r>
      <w:r>
        <w:rPr>
          <w:sz w:val="22"/>
          <w:szCs w:val="22"/>
        </w:rPr>
        <w:t xml:space="preserve">  </w:t>
      </w:r>
    </w:p>
    <w:p w14:paraId="54296B97" w14:textId="77777777" w:rsidR="006D3D39" w:rsidRPr="00B2376F" w:rsidRDefault="006D3D39" w:rsidP="006D3D39">
      <w:pPr>
        <w:numPr>
          <w:ilvl w:val="0"/>
          <w:numId w:val="25"/>
        </w:numPr>
        <w:spacing w:before="0" w:after="0"/>
        <w:ind w:left="360"/>
        <w:rPr>
          <w:sz w:val="22"/>
          <w:szCs w:val="22"/>
        </w:rPr>
      </w:pPr>
      <w:r w:rsidRPr="00B2376F">
        <w:rPr>
          <w:sz w:val="22"/>
          <w:szCs w:val="22"/>
        </w:rPr>
        <w:t xml:space="preserve">The graph below shows the change in the number of very low and low income </w:t>
      </w:r>
      <w:r w:rsidRPr="00A9775D">
        <w:rPr>
          <w:b/>
          <w:sz w:val="22"/>
          <w:szCs w:val="22"/>
        </w:rPr>
        <w:t>renters</w:t>
      </w:r>
      <w:r w:rsidRPr="00B2376F">
        <w:rPr>
          <w:sz w:val="22"/>
          <w:szCs w:val="22"/>
        </w:rPr>
        <w:t xml:space="preserve"> between 2016 and 2021 in the </w:t>
      </w:r>
      <w:r w:rsidR="005B0ED3">
        <w:rPr>
          <w:sz w:val="22"/>
          <w:szCs w:val="22"/>
        </w:rPr>
        <w:t>South and East Tablelands LGAs</w:t>
      </w:r>
      <w:r w:rsidRPr="00B2376F">
        <w:rPr>
          <w:sz w:val="22"/>
          <w:szCs w:val="22"/>
        </w:rPr>
        <w:t>.</w:t>
      </w:r>
    </w:p>
    <w:p w14:paraId="541150A1" w14:textId="77777777" w:rsidR="002426F8" w:rsidRDefault="002426F8" w:rsidP="002426F8">
      <w:pPr>
        <w:spacing w:before="0" w:after="0"/>
        <w:rPr>
          <w:sz w:val="22"/>
          <w:szCs w:val="22"/>
        </w:rPr>
      </w:pPr>
    </w:p>
    <w:p w14:paraId="374F02FC" w14:textId="77777777" w:rsidR="006D3D39" w:rsidRDefault="00FD14E2" w:rsidP="002426F8">
      <w:pPr>
        <w:spacing w:before="0" w:after="0"/>
        <w:rPr>
          <w:sz w:val="22"/>
          <w:szCs w:val="22"/>
        </w:rPr>
      </w:pPr>
      <w:r>
        <w:rPr>
          <w:noProof/>
          <w:sz w:val="22"/>
          <w:szCs w:val="22"/>
        </w:rPr>
        <w:drawing>
          <wp:inline distT="0" distB="0" distL="0" distR="0" wp14:anchorId="516B3F0A" wp14:editId="1A5E3116">
            <wp:extent cx="6104255" cy="3103526"/>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0809" cy="3106858"/>
                    </a:xfrm>
                    <a:prstGeom prst="rect">
                      <a:avLst/>
                    </a:prstGeom>
                    <a:noFill/>
                  </pic:spPr>
                </pic:pic>
              </a:graphicData>
            </a:graphic>
          </wp:inline>
        </w:drawing>
      </w:r>
    </w:p>
    <w:p w14:paraId="6D3256DC" w14:textId="77777777" w:rsidR="006D3D39" w:rsidRDefault="006D3D39" w:rsidP="002426F8">
      <w:pPr>
        <w:spacing w:before="0" w:after="0"/>
        <w:rPr>
          <w:sz w:val="22"/>
          <w:szCs w:val="22"/>
        </w:rPr>
      </w:pPr>
    </w:p>
    <w:p w14:paraId="3F3B238B" w14:textId="77777777" w:rsidR="006D3D39" w:rsidRDefault="006D3D39" w:rsidP="002426F8">
      <w:pPr>
        <w:spacing w:before="0" w:after="0"/>
        <w:rPr>
          <w:sz w:val="22"/>
          <w:szCs w:val="22"/>
        </w:rPr>
      </w:pPr>
    </w:p>
    <w:p w14:paraId="5ACF5B71" w14:textId="77777777" w:rsidR="0025068E" w:rsidRDefault="0025068E" w:rsidP="00695C31">
      <w:pPr>
        <w:numPr>
          <w:ilvl w:val="0"/>
          <w:numId w:val="13"/>
        </w:numPr>
        <w:spacing w:before="0" w:after="0"/>
        <w:rPr>
          <w:sz w:val="22"/>
          <w:szCs w:val="22"/>
        </w:rPr>
      </w:pPr>
      <w:r w:rsidRPr="0025068E">
        <w:rPr>
          <w:sz w:val="22"/>
          <w:szCs w:val="22"/>
        </w:rPr>
        <w:t>Queanbeyan-</w:t>
      </w:r>
      <w:proofErr w:type="spellStart"/>
      <w:r w:rsidRPr="0025068E">
        <w:rPr>
          <w:sz w:val="22"/>
          <w:szCs w:val="22"/>
        </w:rPr>
        <w:t>Palerang</w:t>
      </w:r>
      <w:proofErr w:type="spellEnd"/>
      <w:r w:rsidRPr="0025068E">
        <w:rPr>
          <w:sz w:val="22"/>
          <w:szCs w:val="22"/>
        </w:rPr>
        <w:t xml:space="preserve"> ($2,295) and Yass Valley ($2,289) are the only LGAs in the South and East Tablelands with</w:t>
      </w:r>
      <w:r w:rsidR="00FD14E2" w:rsidRPr="0025068E">
        <w:rPr>
          <w:sz w:val="22"/>
          <w:szCs w:val="22"/>
        </w:rPr>
        <w:t xml:space="preserve"> a higher median income at 2021 than the Rest of NSW ($1,434).  </w:t>
      </w:r>
    </w:p>
    <w:p w14:paraId="5FF3F6FC" w14:textId="77777777" w:rsidR="00FD14E2" w:rsidRPr="0025068E" w:rsidRDefault="00FD14E2" w:rsidP="00695C31">
      <w:pPr>
        <w:numPr>
          <w:ilvl w:val="0"/>
          <w:numId w:val="13"/>
        </w:numPr>
        <w:spacing w:before="0" w:after="0"/>
        <w:rPr>
          <w:sz w:val="22"/>
          <w:szCs w:val="22"/>
        </w:rPr>
      </w:pPr>
      <w:r w:rsidRPr="0025068E">
        <w:rPr>
          <w:sz w:val="22"/>
          <w:szCs w:val="22"/>
        </w:rPr>
        <w:t xml:space="preserve">The table below shows the change in median income in each </w:t>
      </w:r>
      <w:r w:rsidR="0025068E">
        <w:rPr>
          <w:sz w:val="22"/>
          <w:szCs w:val="22"/>
        </w:rPr>
        <w:t>South and East Tablelands</w:t>
      </w:r>
      <w:r w:rsidRPr="0025068E">
        <w:rPr>
          <w:sz w:val="22"/>
          <w:szCs w:val="22"/>
        </w:rPr>
        <w:t xml:space="preserve"> LGA along with the Rest of NSW from the 2011, 2016 and 2021 Census.</w:t>
      </w:r>
    </w:p>
    <w:p w14:paraId="2D5701D5" w14:textId="77777777" w:rsidR="006D3D39" w:rsidRDefault="006D3D39" w:rsidP="002426F8">
      <w:pPr>
        <w:spacing w:before="0" w:after="0"/>
        <w:rPr>
          <w:sz w:val="22"/>
          <w:szCs w:val="22"/>
        </w:rPr>
      </w:pPr>
    </w:p>
    <w:p w14:paraId="7DEE0B83" w14:textId="77777777" w:rsidR="00FD14E2" w:rsidRDefault="00FD14E2" w:rsidP="002426F8">
      <w:pPr>
        <w:spacing w:before="0" w:after="0"/>
        <w:rPr>
          <w:sz w:val="22"/>
          <w:szCs w:val="22"/>
        </w:rPr>
      </w:pPr>
      <w:r w:rsidRPr="00FD14E2">
        <w:rPr>
          <w:noProof/>
        </w:rPr>
        <w:lastRenderedPageBreak/>
        <w:drawing>
          <wp:inline distT="0" distB="0" distL="0" distR="0" wp14:anchorId="2A8DD34A" wp14:editId="1DEF7D80">
            <wp:extent cx="3790950" cy="2486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0950" cy="2486025"/>
                    </a:xfrm>
                    <a:prstGeom prst="rect">
                      <a:avLst/>
                    </a:prstGeom>
                    <a:noFill/>
                    <a:ln>
                      <a:noFill/>
                    </a:ln>
                  </pic:spPr>
                </pic:pic>
              </a:graphicData>
            </a:graphic>
          </wp:inline>
        </w:drawing>
      </w:r>
    </w:p>
    <w:p w14:paraId="303C9734" w14:textId="77777777" w:rsidR="00555F5C" w:rsidRDefault="00555F5C" w:rsidP="0025068E">
      <w:pPr>
        <w:spacing w:before="0" w:after="0"/>
        <w:rPr>
          <w:sz w:val="20"/>
          <w:szCs w:val="20"/>
        </w:rPr>
      </w:pPr>
    </w:p>
    <w:p w14:paraId="43679920" w14:textId="77777777" w:rsidR="006F4546" w:rsidRPr="003B0220" w:rsidRDefault="006F4546" w:rsidP="00555F5C">
      <w:pPr>
        <w:rPr>
          <w:sz w:val="20"/>
          <w:szCs w:val="20"/>
        </w:rPr>
      </w:pPr>
    </w:p>
    <w:p w14:paraId="786A4780" w14:textId="77777777" w:rsidR="00555F5C" w:rsidRPr="00364F95" w:rsidRDefault="00555F5C" w:rsidP="00555F5C">
      <w:pPr>
        <w:rPr>
          <w:b/>
          <w:color w:val="008000"/>
          <w:sz w:val="32"/>
        </w:rPr>
      </w:pPr>
      <w:r w:rsidRPr="00364F95">
        <w:rPr>
          <w:b/>
          <w:color w:val="008000"/>
          <w:sz w:val="32"/>
        </w:rPr>
        <w:t>Homelessness</w:t>
      </w:r>
    </w:p>
    <w:p w14:paraId="2045E267" w14:textId="77777777" w:rsidR="0025068E" w:rsidRDefault="0025068E" w:rsidP="00965DBF">
      <w:pPr>
        <w:pStyle w:val="ListParagraph"/>
        <w:numPr>
          <w:ilvl w:val="0"/>
          <w:numId w:val="12"/>
        </w:numPr>
        <w:spacing w:before="0" w:after="0"/>
        <w:rPr>
          <w:sz w:val="22"/>
          <w:szCs w:val="22"/>
        </w:rPr>
      </w:pPr>
      <w:r w:rsidRPr="0025068E">
        <w:rPr>
          <w:sz w:val="22"/>
          <w:szCs w:val="22"/>
        </w:rPr>
        <w:t>People experiencing homelessness and those at risk of homelessness are among Australia’s most socially and economically disadvantaged. State, Commonwealth and some local governments fund services to support people who are homeless, or at risk of homelessness. Services are delivered mainly by non–government organisations, some of which specialise in delivering services to specific groups (such as young people or people experiencing domestic violence).</w:t>
      </w:r>
    </w:p>
    <w:p w14:paraId="340B4849" w14:textId="77777777" w:rsidR="0025068E" w:rsidRDefault="0025068E" w:rsidP="00965DBF">
      <w:pPr>
        <w:pStyle w:val="ListParagraph"/>
        <w:numPr>
          <w:ilvl w:val="0"/>
          <w:numId w:val="12"/>
        </w:numPr>
        <w:spacing w:before="0" w:after="0"/>
        <w:rPr>
          <w:sz w:val="22"/>
          <w:szCs w:val="22"/>
        </w:rPr>
      </w:pPr>
      <w:r w:rsidRPr="0025068E">
        <w:rPr>
          <w:sz w:val="22"/>
          <w:szCs w:val="22"/>
        </w:rPr>
        <w:t>Inadequate income and inability to access affordable housing are significant contributing factors to homelessness, along with individual factors such as experience of family and domestic violence, ill health and disability</w:t>
      </w:r>
      <w:r w:rsidR="009E7BCF">
        <w:rPr>
          <w:sz w:val="22"/>
          <w:szCs w:val="22"/>
        </w:rPr>
        <w:t>.</w:t>
      </w:r>
    </w:p>
    <w:p w14:paraId="2FE0DB35" w14:textId="77777777" w:rsidR="009E7BCF" w:rsidRDefault="009E7BCF" w:rsidP="009E7BCF">
      <w:pPr>
        <w:pStyle w:val="ListParagraph"/>
        <w:numPr>
          <w:ilvl w:val="0"/>
          <w:numId w:val="12"/>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60464D0E" w14:textId="77777777" w:rsidR="009E7BCF" w:rsidRDefault="009E7BCF" w:rsidP="009E7BCF">
      <w:pPr>
        <w:pStyle w:val="ListParagraph"/>
        <w:numPr>
          <w:ilvl w:val="1"/>
          <w:numId w:val="12"/>
        </w:numPr>
        <w:rPr>
          <w:sz w:val="22"/>
          <w:szCs w:val="22"/>
        </w:rPr>
      </w:pPr>
      <w:r w:rsidRPr="005E6C46">
        <w:rPr>
          <w:sz w:val="22"/>
          <w:szCs w:val="22"/>
        </w:rPr>
        <w:t>Is in a dwelling that is inadequate;</w:t>
      </w:r>
    </w:p>
    <w:p w14:paraId="0406F2E6" w14:textId="77777777" w:rsidR="009E7BCF" w:rsidRDefault="009E7BCF" w:rsidP="009E7BCF">
      <w:pPr>
        <w:pStyle w:val="ListParagraph"/>
        <w:numPr>
          <w:ilvl w:val="1"/>
          <w:numId w:val="12"/>
        </w:numPr>
        <w:rPr>
          <w:sz w:val="22"/>
          <w:szCs w:val="22"/>
        </w:rPr>
      </w:pPr>
      <w:r w:rsidRPr="005E6C46">
        <w:rPr>
          <w:sz w:val="22"/>
          <w:szCs w:val="22"/>
        </w:rPr>
        <w:t>Has no tenure or their initial tenure is short and not extendable; or</w:t>
      </w:r>
    </w:p>
    <w:p w14:paraId="19A108BF" w14:textId="77777777" w:rsidR="009E7BCF" w:rsidRDefault="009E7BCF" w:rsidP="009E7BCF">
      <w:pPr>
        <w:pStyle w:val="ListParagraph"/>
        <w:numPr>
          <w:ilvl w:val="1"/>
          <w:numId w:val="12"/>
        </w:numPr>
        <w:rPr>
          <w:sz w:val="22"/>
          <w:szCs w:val="22"/>
        </w:rPr>
      </w:pPr>
      <w:r w:rsidRPr="005E6C46">
        <w:rPr>
          <w:sz w:val="22"/>
          <w:szCs w:val="22"/>
        </w:rPr>
        <w:t>Does not allow them to have control of and access to space for social relations.”</w:t>
      </w:r>
    </w:p>
    <w:p w14:paraId="51D93AC9" w14:textId="77777777" w:rsidR="009E7BCF" w:rsidRPr="005E6C46" w:rsidRDefault="009E7BCF" w:rsidP="009E7BCF">
      <w:pPr>
        <w:pStyle w:val="ListParagraph"/>
        <w:numPr>
          <w:ilvl w:val="0"/>
          <w:numId w:val="12"/>
        </w:numPr>
        <w:rPr>
          <w:sz w:val="22"/>
          <w:szCs w:val="22"/>
        </w:rPr>
      </w:pPr>
      <w:r w:rsidRPr="005E6C46">
        <w:rPr>
          <w:sz w:val="22"/>
          <w:szCs w:val="22"/>
        </w:rPr>
        <w:t>The ABS uses “six operational groups for presenting estimates of people experiencing homelessness on Census night:</w:t>
      </w:r>
    </w:p>
    <w:p w14:paraId="15B12217" w14:textId="77777777" w:rsidR="009E7BCF" w:rsidRDefault="009E7BCF" w:rsidP="009E7BCF">
      <w:pPr>
        <w:pStyle w:val="ListParagraph"/>
        <w:numPr>
          <w:ilvl w:val="1"/>
          <w:numId w:val="12"/>
        </w:numPr>
        <w:rPr>
          <w:sz w:val="22"/>
          <w:szCs w:val="22"/>
        </w:rPr>
      </w:pPr>
      <w:r>
        <w:rPr>
          <w:sz w:val="22"/>
          <w:szCs w:val="22"/>
        </w:rPr>
        <w:t>People living in improvised dwellings, tents or sleeping out</w:t>
      </w:r>
    </w:p>
    <w:p w14:paraId="47758381" w14:textId="77777777" w:rsidR="009E7BCF" w:rsidRDefault="009E7BCF" w:rsidP="009E7BCF">
      <w:pPr>
        <w:pStyle w:val="ListParagraph"/>
        <w:numPr>
          <w:ilvl w:val="1"/>
          <w:numId w:val="12"/>
        </w:numPr>
        <w:rPr>
          <w:sz w:val="22"/>
          <w:szCs w:val="22"/>
        </w:rPr>
      </w:pPr>
      <w:r>
        <w:rPr>
          <w:sz w:val="22"/>
          <w:szCs w:val="22"/>
        </w:rPr>
        <w:t>People living in supported accommodation for the homeless</w:t>
      </w:r>
    </w:p>
    <w:p w14:paraId="0242B9B8" w14:textId="77777777" w:rsidR="009E7BCF" w:rsidRDefault="009E7BCF" w:rsidP="009E7BCF">
      <w:pPr>
        <w:pStyle w:val="ListParagraph"/>
        <w:numPr>
          <w:ilvl w:val="1"/>
          <w:numId w:val="12"/>
        </w:numPr>
        <w:rPr>
          <w:sz w:val="22"/>
          <w:szCs w:val="22"/>
        </w:rPr>
      </w:pPr>
      <w:r>
        <w:rPr>
          <w:sz w:val="22"/>
          <w:szCs w:val="22"/>
        </w:rPr>
        <w:t>People staying temporarily with other households</w:t>
      </w:r>
    </w:p>
    <w:p w14:paraId="54DB70C1" w14:textId="77777777" w:rsidR="009E7BCF" w:rsidRDefault="009E7BCF" w:rsidP="009E7BCF">
      <w:pPr>
        <w:pStyle w:val="ListParagraph"/>
        <w:numPr>
          <w:ilvl w:val="1"/>
          <w:numId w:val="12"/>
        </w:numPr>
        <w:rPr>
          <w:sz w:val="22"/>
          <w:szCs w:val="22"/>
        </w:rPr>
      </w:pPr>
      <w:r>
        <w:rPr>
          <w:sz w:val="22"/>
          <w:szCs w:val="22"/>
        </w:rPr>
        <w:t>People living in boarding houses</w:t>
      </w:r>
    </w:p>
    <w:p w14:paraId="01817CB4" w14:textId="77777777" w:rsidR="009E7BCF" w:rsidRDefault="009E7BCF" w:rsidP="009E7BCF">
      <w:pPr>
        <w:pStyle w:val="ListParagraph"/>
        <w:numPr>
          <w:ilvl w:val="1"/>
          <w:numId w:val="12"/>
        </w:numPr>
        <w:rPr>
          <w:sz w:val="22"/>
          <w:szCs w:val="22"/>
        </w:rPr>
      </w:pPr>
      <w:r>
        <w:rPr>
          <w:sz w:val="22"/>
          <w:szCs w:val="22"/>
        </w:rPr>
        <w:t>People in other temporary lodgings</w:t>
      </w:r>
    </w:p>
    <w:p w14:paraId="5F99AEAD" w14:textId="77777777" w:rsidR="009E7BCF" w:rsidRDefault="009E7BCF" w:rsidP="009E7BCF">
      <w:pPr>
        <w:pStyle w:val="ListParagraph"/>
        <w:numPr>
          <w:ilvl w:val="1"/>
          <w:numId w:val="12"/>
        </w:numPr>
        <w:rPr>
          <w:sz w:val="22"/>
          <w:szCs w:val="22"/>
        </w:rPr>
      </w:pPr>
      <w:r>
        <w:rPr>
          <w:sz w:val="22"/>
          <w:szCs w:val="22"/>
        </w:rPr>
        <w:t>People living in ‘severely’ overcrowded dwellings.”</w:t>
      </w:r>
    </w:p>
    <w:p w14:paraId="25CEFFE9" w14:textId="77777777" w:rsidR="009E7BCF" w:rsidRDefault="009E7BCF" w:rsidP="009E7BCF">
      <w:pPr>
        <w:pStyle w:val="ListParagraph"/>
        <w:numPr>
          <w:ilvl w:val="0"/>
          <w:numId w:val="12"/>
        </w:numPr>
        <w:rPr>
          <w:sz w:val="22"/>
          <w:szCs w:val="22"/>
        </w:rPr>
      </w:pPr>
      <w:r>
        <w:rPr>
          <w:sz w:val="22"/>
          <w:szCs w:val="22"/>
        </w:rPr>
        <w:t>The ABS “also compiles estimates from Census data for the following three groups of people who may be marginally housed but are not classified as homeless:</w:t>
      </w:r>
    </w:p>
    <w:p w14:paraId="113C6384" w14:textId="77777777" w:rsidR="009E7BCF" w:rsidRDefault="009E7BCF" w:rsidP="009E7BCF">
      <w:pPr>
        <w:pStyle w:val="ListParagraph"/>
        <w:numPr>
          <w:ilvl w:val="1"/>
          <w:numId w:val="12"/>
        </w:numPr>
        <w:rPr>
          <w:sz w:val="22"/>
          <w:szCs w:val="22"/>
        </w:rPr>
      </w:pPr>
      <w:r>
        <w:rPr>
          <w:sz w:val="22"/>
          <w:szCs w:val="22"/>
        </w:rPr>
        <w:t>People living in other crowded dwellings</w:t>
      </w:r>
    </w:p>
    <w:p w14:paraId="54C27892" w14:textId="77777777" w:rsidR="009E7BCF" w:rsidRDefault="009E7BCF" w:rsidP="009E7BCF">
      <w:pPr>
        <w:pStyle w:val="ListParagraph"/>
        <w:numPr>
          <w:ilvl w:val="1"/>
          <w:numId w:val="12"/>
        </w:numPr>
        <w:rPr>
          <w:sz w:val="22"/>
          <w:szCs w:val="22"/>
        </w:rPr>
      </w:pPr>
      <w:r>
        <w:rPr>
          <w:sz w:val="22"/>
          <w:szCs w:val="22"/>
        </w:rPr>
        <w:t>People in other improvised dwellings</w:t>
      </w:r>
    </w:p>
    <w:p w14:paraId="43986D07" w14:textId="77777777" w:rsidR="009E7BCF" w:rsidRDefault="009E7BCF" w:rsidP="009E7BCF">
      <w:pPr>
        <w:pStyle w:val="ListParagraph"/>
        <w:numPr>
          <w:ilvl w:val="1"/>
          <w:numId w:val="12"/>
        </w:numPr>
        <w:rPr>
          <w:sz w:val="22"/>
          <w:szCs w:val="22"/>
        </w:rPr>
      </w:pPr>
      <w:r>
        <w:rPr>
          <w:sz w:val="22"/>
          <w:szCs w:val="22"/>
        </w:rPr>
        <w:t>People marginally housed in caravan parks.”</w:t>
      </w:r>
    </w:p>
    <w:p w14:paraId="499B8646" w14:textId="77777777" w:rsidR="009E7BCF" w:rsidRDefault="009E7BCF" w:rsidP="009E7BCF">
      <w:pPr>
        <w:pStyle w:val="ListParagraph"/>
        <w:numPr>
          <w:ilvl w:val="0"/>
          <w:numId w:val="12"/>
        </w:numPr>
        <w:rPr>
          <w:sz w:val="22"/>
          <w:szCs w:val="22"/>
        </w:rPr>
      </w:pPr>
      <w:r w:rsidRPr="00937307">
        <w:rPr>
          <w:sz w:val="22"/>
          <w:szCs w:val="22"/>
        </w:rPr>
        <w:lastRenderedPageBreak/>
        <w:t xml:space="preserve">The table below shows that ABS 2021 Census data for the </w:t>
      </w:r>
      <w:r w:rsidR="004D0828">
        <w:rPr>
          <w:sz w:val="22"/>
          <w:szCs w:val="22"/>
        </w:rPr>
        <w:t>South and East Tablelands</w:t>
      </w:r>
      <w:r w:rsidRPr="00937307">
        <w:rPr>
          <w:sz w:val="22"/>
          <w:szCs w:val="22"/>
        </w:rPr>
        <w:t xml:space="preserve"> on the homeless and marginally housed.  </w:t>
      </w:r>
    </w:p>
    <w:p w14:paraId="6E7B185F" w14:textId="77777777" w:rsidR="00BC263F" w:rsidRDefault="009E7BCF" w:rsidP="00BC263F">
      <w:pPr>
        <w:pStyle w:val="ListParagraph"/>
        <w:numPr>
          <w:ilvl w:val="0"/>
          <w:numId w:val="12"/>
        </w:numPr>
        <w:rPr>
          <w:sz w:val="22"/>
          <w:szCs w:val="22"/>
        </w:rPr>
      </w:pPr>
      <w:r w:rsidRPr="00937307">
        <w:rPr>
          <w:sz w:val="22"/>
          <w:szCs w:val="22"/>
        </w:rPr>
        <w:t>Note that due to additional assistance provided during the pandemic, the number of people counted as homeless on Census night in 2021 is lower than at the 2016 Census.</w:t>
      </w:r>
      <w:r w:rsidR="00BC263F">
        <w:rPr>
          <w:sz w:val="22"/>
          <w:szCs w:val="22"/>
        </w:rPr>
        <w:t xml:space="preserve">  Nevertheless, there were 834 people counted as homeless in the Riverina Murray at the 2021 Census and a further </w:t>
      </w:r>
      <w:r w:rsidR="008432BF">
        <w:rPr>
          <w:sz w:val="22"/>
          <w:szCs w:val="22"/>
        </w:rPr>
        <w:t>661</w:t>
      </w:r>
      <w:r w:rsidR="00BC263F">
        <w:rPr>
          <w:sz w:val="22"/>
          <w:szCs w:val="22"/>
        </w:rPr>
        <w:t xml:space="preserve"> who were counted as marginally housed.</w:t>
      </w:r>
    </w:p>
    <w:p w14:paraId="0362F8C4" w14:textId="61344201" w:rsidR="00BC263F" w:rsidRPr="008432BF" w:rsidRDefault="00BC263F" w:rsidP="00345B13">
      <w:pPr>
        <w:pStyle w:val="ListParagraph"/>
        <w:numPr>
          <w:ilvl w:val="0"/>
          <w:numId w:val="12"/>
        </w:numPr>
        <w:rPr>
          <w:sz w:val="22"/>
          <w:szCs w:val="22"/>
        </w:rPr>
      </w:pPr>
      <w:r w:rsidRPr="008432BF">
        <w:rPr>
          <w:sz w:val="22"/>
          <w:szCs w:val="22"/>
        </w:rPr>
        <w:t>Of those who were counted as homeless</w:t>
      </w:r>
      <w:r w:rsidR="00525A23">
        <w:rPr>
          <w:sz w:val="22"/>
          <w:szCs w:val="22"/>
        </w:rPr>
        <w:t xml:space="preserve"> in the South and East Tablelands</w:t>
      </w:r>
      <w:r w:rsidRPr="008432BF">
        <w:rPr>
          <w:sz w:val="22"/>
          <w:szCs w:val="22"/>
        </w:rPr>
        <w:t>, the largest number were people living in severely overcrowded dwellings (</w:t>
      </w:r>
      <w:r w:rsidR="008432BF" w:rsidRPr="008432BF">
        <w:rPr>
          <w:sz w:val="22"/>
          <w:szCs w:val="22"/>
        </w:rPr>
        <w:t>258</w:t>
      </w:r>
      <w:r w:rsidRPr="008432BF">
        <w:rPr>
          <w:sz w:val="22"/>
          <w:szCs w:val="22"/>
        </w:rPr>
        <w:t xml:space="preserve"> or 3</w:t>
      </w:r>
      <w:r w:rsidR="008432BF" w:rsidRPr="008432BF">
        <w:rPr>
          <w:sz w:val="22"/>
          <w:szCs w:val="22"/>
        </w:rPr>
        <w:t>0.9</w:t>
      </w:r>
      <w:r w:rsidRPr="008432BF">
        <w:rPr>
          <w:sz w:val="22"/>
          <w:szCs w:val="22"/>
        </w:rPr>
        <w:t>%), followed by people staying temporarily with other households (2</w:t>
      </w:r>
      <w:r w:rsidR="008432BF" w:rsidRPr="008432BF">
        <w:rPr>
          <w:sz w:val="22"/>
          <w:szCs w:val="22"/>
        </w:rPr>
        <w:t>52</w:t>
      </w:r>
      <w:r w:rsidRPr="008432BF">
        <w:rPr>
          <w:sz w:val="22"/>
          <w:szCs w:val="22"/>
        </w:rPr>
        <w:t xml:space="preserve"> or </w:t>
      </w:r>
      <w:r w:rsidR="008432BF" w:rsidRPr="008432BF">
        <w:rPr>
          <w:sz w:val="22"/>
          <w:szCs w:val="22"/>
        </w:rPr>
        <w:t>30.2</w:t>
      </w:r>
      <w:r w:rsidRPr="008432BF">
        <w:rPr>
          <w:sz w:val="22"/>
          <w:szCs w:val="22"/>
        </w:rPr>
        <w:t>%)</w:t>
      </w:r>
      <w:r w:rsidR="008432BF" w:rsidRPr="008432BF">
        <w:rPr>
          <w:sz w:val="22"/>
          <w:szCs w:val="22"/>
        </w:rPr>
        <w:t>, then people in supported accommodation for the homeless (173 or 20.7%)</w:t>
      </w:r>
      <w:r w:rsidRPr="008432BF">
        <w:rPr>
          <w:sz w:val="22"/>
          <w:szCs w:val="22"/>
        </w:rPr>
        <w:t>.  Of those who were counted as marginally housed, the overwhelming majority were people living in other crowded dwellings (</w:t>
      </w:r>
      <w:r w:rsidR="008432BF">
        <w:rPr>
          <w:sz w:val="22"/>
          <w:szCs w:val="22"/>
        </w:rPr>
        <w:t>480</w:t>
      </w:r>
      <w:r w:rsidRPr="008432BF">
        <w:rPr>
          <w:sz w:val="22"/>
          <w:szCs w:val="22"/>
        </w:rPr>
        <w:t xml:space="preserve"> or </w:t>
      </w:r>
      <w:r w:rsidR="008432BF">
        <w:rPr>
          <w:sz w:val="22"/>
          <w:szCs w:val="22"/>
        </w:rPr>
        <w:t>72.6</w:t>
      </w:r>
      <w:r w:rsidRPr="008432BF">
        <w:rPr>
          <w:sz w:val="22"/>
          <w:szCs w:val="22"/>
        </w:rPr>
        <w:t>%).</w:t>
      </w:r>
      <w:r w:rsidR="008432BF">
        <w:rPr>
          <w:sz w:val="22"/>
          <w:szCs w:val="22"/>
        </w:rPr>
        <w:t xml:space="preserve">  The region also has a significant </w:t>
      </w:r>
      <w:r w:rsidR="00C36A53">
        <w:rPr>
          <w:sz w:val="22"/>
          <w:szCs w:val="22"/>
        </w:rPr>
        <w:t>number</w:t>
      </w:r>
      <w:r w:rsidR="008432BF">
        <w:rPr>
          <w:sz w:val="22"/>
          <w:szCs w:val="22"/>
        </w:rPr>
        <w:t xml:space="preserve"> of people who are marginally housed in caravan parks – most particularly Eurobodalla (with 77 of the 143 people marginally housed in caravan parks in the region).</w:t>
      </w:r>
    </w:p>
    <w:p w14:paraId="06EE1B3F" w14:textId="77777777" w:rsidR="00BC263F" w:rsidRPr="00937307" w:rsidRDefault="00BC263F" w:rsidP="00BC263F">
      <w:pPr>
        <w:pStyle w:val="ListParagraph"/>
        <w:numPr>
          <w:ilvl w:val="0"/>
          <w:numId w:val="12"/>
        </w:numPr>
        <w:rPr>
          <w:sz w:val="22"/>
          <w:szCs w:val="22"/>
        </w:rPr>
      </w:pPr>
      <w:r>
        <w:rPr>
          <w:sz w:val="22"/>
          <w:szCs w:val="22"/>
        </w:rPr>
        <w:t>This clearly indicates the need for more affordable rental housing.</w:t>
      </w:r>
    </w:p>
    <w:p w14:paraId="77980185" w14:textId="77777777" w:rsidR="009E7BCF" w:rsidRDefault="008C09D9" w:rsidP="009E7BCF">
      <w:pPr>
        <w:spacing w:before="0" w:after="0"/>
        <w:rPr>
          <w:sz w:val="22"/>
          <w:szCs w:val="22"/>
        </w:rPr>
      </w:pPr>
      <w:r w:rsidRPr="008C09D9">
        <w:rPr>
          <w:noProof/>
        </w:rPr>
        <w:drawing>
          <wp:inline distT="0" distB="0" distL="0" distR="0" wp14:anchorId="07AE5326" wp14:editId="45B87C65">
            <wp:extent cx="6081752"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4733" cy="2386332"/>
                    </a:xfrm>
                    <a:prstGeom prst="rect">
                      <a:avLst/>
                    </a:prstGeom>
                    <a:noFill/>
                    <a:ln>
                      <a:noFill/>
                    </a:ln>
                  </pic:spPr>
                </pic:pic>
              </a:graphicData>
            </a:graphic>
          </wp:inline>
        </w:drawing>
      </w:r>
    </w:p>
    <w:p w14:paraId="1D7F5004" w14:textId="77777777" w:rsidR="009E7BCF" w:rsidRPr="009E7BCF" w:rsidRDefault="009E7BCF" w:rsidP="009E7BCF">
      <w:pPr>
        <w:spacing w:before="0" w:after="0"/>
        <w:rPr>
          <w:sz w:val="22"/>
          <w:szCs w:val="22"/>
        </w:rPr>
      </w:pPr>
    </w:p>
    <w:p w14:paraId="382D774E" w14:textId="77777777" w:rsidR="0033136D" w:rsidRPr="0033136D" w:rsidRDefault="0033136D" w:rsidP="0033136D">
      <w:pPr>
        <w:pStyle w:val="ListParagraph"/>
        <w:numPr>
          <w:ilvl w:val="0"/>
          <w:numId w:val="12"/>
        </w:numPr>
        <w:spacing w:before="0" w:after="0"/>
        <w:rPr>
          <w:sz w:val="22"/>
          <w:szCs w:val="22"/>
        </w:rPr>
      </w:pPr>
      <w:r w:rsidRPr="00B17805">
        <w:rPr>
          <w:sz w:val="22"/>
          <w:szCs w:val="22"/>
        </w:rPr>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4346BA9C" w14:textId="77777777" w:rsidR="0033136D" w:rsidRPr="00C8457E" w:rsidRDefault="0033136D" w:rsidP="0033136D">
      <w:pPr>
        <w:pStyle w:val="ListParagraph"/>
        <w:numPr>
          <w:ilvl w:val="0"/>
          <w:numId w:val="12"/>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0B71D342" w14:textId="77777777" w:rsidR="0033136D" w:rsidRDefault="0033136D" w:rsidP="0033136D">
      <w:pPr>
        <w:pStyle w:val="ListParagraph"/>
        <w:numPr>
          <w:ilvl w:val="0"/>
          <w:numId w:val="12"/>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28C243A0" w14:textId="77777777" w:rsidR="0033136D" w:rsidRPr="00D123CB" w:rsidRDefault="0033136D" w:rsidP="0033136D">
      <w:pPr>
        <w:pStyle w:val="ListParagraph"/>
        <w:numPr>
          <w:ilvl w:val="0"/>
          <w:numId w:val="12"/>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3FA910E4" w14:textId="77777777" w:rsidR="00930561" w:rsidRDefault="00930561" w:rsidP="00930561">
      <w:pPr>
        <w:pStyle w:val="ListParagraph"/>
        <w:numPr>
          <w:ilvl w:val="0"/>
          <w:numId w:val="12"/>
        </w:numPr>
        <w:spacing w:before="0" w:after="0"/>
        <w:rPr>
          <w:sz w:val="22"/>
          <w:szCs w:val="22"/>
        </w:rPr>
      </w:pPr>
      <w:r>
        <w:rPr>
          <w:sz w:val="22"/>
          <w:szCs w:val="22"/>
        </w:rPr>
        <w:t xml:space="preserve">The table below gives the street count results for the </w:t>
      </w:r>
      <w:r w:rsidR="00D70D49">
        <w:rPr>
          <w:sz w:val="22"/>
          <w:szCs w:val="22"/>
        </w:rPr>
        <w:t xml:space="preserve">South and East Tablelands </w:t>
      </w:r>
      <w:r>
        <w:rPr>
          <w:sz w:val="22"/>
          <w:szCs w:val="22"/>
        </w:rPr>
        <w:t>region locations.</w:t>
      </w:r>
    </w:p>
    <w:p w14:paraId="53F9C468" w14:textId="77777777" w:rsidR="00FE67A5" w:rsidRDefault="00FE67A5" w:rsidP="00FE67A5">
      <w:pPr>
        <w:spacing w:before="0" w:after="0"/>
        <w:rPr>
          <w:sz w:val="22"/>
          <w:szCs w:val="22"/>
        </w:rPr>
      </w:pPr>
    </w:p>
    <w:p w14:paraId="2FF0B1DC" w14:textId="77777777" w:rsidR="00930561" w:rsidRDefault="0033136D" w:rsidP="0033136D">
      <w:pPr>
        <w:spacing w:before="0" w:after="0"/>
        <w:rPr>
          <w:sz w:val="22"/>
          <w:szCs w:val="22"/>
        </w:rPr>
      </w:pPr>
      <w:r w:rsidRPr="0033136D">
        <w:rPr>
          <w:noProof/>
        </w:rPr>
        <w:lastRenderedPageBreak/>
        <w:drawing>
          <wp:inline distT="0" distB="0" distL="0" distR="0" wp14:anchorId="5189133F" wp14:editId="12B42896">
            <wp:extent cx="5935628" cy="1579418"/>
            <wp:effectExtent l="0" t="0" r="825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2662" cy="1583950"/>
                    </a:xfrm>
                    <a:prstGeom prst="rect">
                      <a:avLst/>
                    </a:prstGeom>
                    <a:noFill/>
                    <a:ln>
                      <a:noFill/>
                    </a:ln>
                  </pic:spPr>
                </pic:pic>
              </a:graphicData>
            </a:graphic>
          </wp:inline>
        </w:drawing>
      </w:r>
    </w:p>
    <w:p w14:paraId="2974FEF1" w14:textId="77777777" w:rsidR="0025068E" w:rsidRDefault="0025068E" w:rsidP="00FE67A5">
      <w:pPr>
        <w:spacing w:before="0" w:after="0"/>
        <w:rPr>
          <w:sz w:val="22"/>
          <w:szCs w:val="22"/>
        </w:rPr>
      </w:pPr>
    </w:p>
    <w:p w14:paraId="08652C3C" w14:textId="77777777" w:rsidR="0025068E" w:rsidRDefault="0025068E" w:rsidP="00FE67A5">
      <w:pPr>
        <w:spacing w:before="0" w:after="0"/>
        <w:rPr>
          <w:sz w:val="22"/>
          <w:szCs w:val="22"/>
        </w:rPr>
      </w:pPr>
    </w:p>
    <w:p w14:paraId="2C5EB49E" w14:textId="77777777" w:rsidR="0025068E" w:rsidRDefault="0025068E" w:rsidP="0025068E">
      <w:pPr>
        <w:pStyle w:val="Heading2"/>
        <w:rPr>
          <w:b w:val="0"/>
        </w:rPr>
      </w:pPr>
      <w:r>
        <w:t>People with Disability</w:t>
      </w:r>
    </w:p>
    <w:p w14:paraId="4843DB6D" w14:textId="77777777" w:rsidR="0025068E" w:rsidRDefault="0025068E" w:rsidP="0025068E">
      <w:pPr>
        <w:pStyle w:val="ListParagraph"/>
        <w:numPr>
          <w:ilvl w:val="0"/>
          <w:numId w:val="28"/>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6E45D01E" w14:textId="77777777" w:rsidR="0025068E" w:rsidRDefault="0025068E" w:rsidP="0025068E">
      <w:pPr>
        <w:pStyle w:val="ListParagraph"/>
        <w:numPr>
          <w:ilvl w:val="0"/>
          <w:numId w:val="28"/>
        </w:numPr>
        <w:rPr>
          <w:sz w:val="22"/>
          <w:szCs w:val="22"/>
        </w:rPr>
      </w:pPr>
      <w:r>
        <w:rPr>
          <w:sz w:val="22"/>
          <w:szCs w:val="22"/>
        </w:rPr>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074E01D8" w14:textId="77777777" w:rsidR="0025068E" w:rsidRDefault="0025068E" w:rsidP="0025068E">
      <w:pPr>
        <w:pStyle w:val="ListParagraph"/>
        <w:numPr>
          <w:ilvl w:val="0"/>
          <w:numId w:val="28"/>
        </w:numPr>
        <w:rPr>
          <w:sz w:val="22"/>
          <w:szCs w:val="22"/>
        </w:rPr>
      </w:pPr>
      <w:r>
        <w:rPr>
          <w:sz w:val="22"/>
          <w:szCs w:val="22"/>
        </w:rPr>
        <w:t>The survey data shows:</w:t>
      </w:r>
    </w:p>
    <w:p w14:paraId="56A96128" w14:textId="77777777" w:rsidR="0025068E" w:rsidRPr="004029DC" w:rsidRDefault="0025068E" w:rsidP="0025068E">
      <w:pPr>
        <w:pStyle w:val="ListParagraph"/>
        <w:numPr>
          <w:ilvl w:val="1"/>
          <w:numId w:val="28"/>
        </w:numPr>
        <w:rPr>
          <w:sz w:val="22"/>
          <w:szCs w:val="22"/>
        </w:rPr>
      </w:pPr>
      <w:r w:rsidRPr="004029DC">
        <w:rPr>
          <w:sz w:val="22"/>
          <w:szCs w:val="22"/>
        </w:rPr>
        <w:t>7.6% of children aged 0–14 have disability</w:t>
      </w:r>
    </w:p>
    <w:p w14:paraId="3B012362" w14:textId="77777777" w:rsidR="0025068E" w:rsidRPr="004029DC" w:rsidRDefault="0025068E" w:rsidP="0025068E">
      <w:pPr>
        <w:pStyle w:val="ListParagraph"/>
        <w:numPr>
          <w:ilvl w:val="1"/>
          <w:numId w:val="28"/>
        </w:numPr>
        <w:rPr>
          <w:sz w:val="22"/>
          <w:szCs w:val="22"/>
        </w:rPr>
      </w:pPr>
      <w:r w:rsidRPr="004029DC">
        <w:rPr>
          <w:sz w:val="22"/>
          <w:szCs w:val="22"/>
        </w:rPr>
        <w:t>9.3% of people aged 15–24 have disability</w:t>
      </w:r>
    </w:p>
    <w:p w14:paraId="35B73700" w14:textId="77777777" w:rsidR="0025068E" w:rsidRPr="004029DC" w:rsidRDefault="0025068E" w:rsidP="0025068E">
      <w:pPr>
        <w:pStyle w:val="ListParagraph"/>
        <w:numPr>
          <w:ilvl w:val="1"/>
          <w:numId w:val="28"/>
        </w:numPr>
        <w:rPr>
          <w:sz w:val="22"/>
          <w:szCs w:val="22"/>
        </w:rPr>
      </w:pPr>
      <w:r w:rsidRPr="004029DC">
        <w:rPr>
          <w:sz w:val="22"/>
          <w:szCs w:val="22"/>
        </w:rPr>
        <w:t>13% of people aged 15–64 have disability</w:t>
      </w:r>
    </w:p>
    <w:p w14:paraId="50C5D104" w14:textId="77777777" w:rsidR="0025068E" w:rsidRDefault="0025068E" w:rsidP="0025068E">
      <w:pPr>
        <w:pStyle w:val="ListParagraph"/>
        <w:numPr>
          <w:ilvl w:val="1"/>
          <w:numId w:val="28"/>
        </w:numPr>
        <w:rPr>
          <w:sz w:val="22"/>
          <w:szCs w:val="22"/>
        </w:rPr>
      </w:pPr>
      <w:r w:rsidRPr="004029DC">
        <w:rPr>
          <w:sz w:val="22"/>
          <w:szCs w:val="22"/>
        </w:rPr>
        <w:t>50% of people aged 65 and over have disability (ABS 2019b).</w:t>
      </w:r>
    </w:p>
    <w:p w14:paraId="4FF0745F" w14:textId="77777777" w:rsidR="0025068E" w:rsidRDefault="0025068E" w:rsidP="0025068E">
      <w:pPr>
        <w:pStyle w:val="ListParagraph"/>
        <w:numPr>
          <w:ilvl w:val="0"/>
          <w:numId w:val="28"/>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56AD4C42" w14:textId="77777777" w:rsidR="0025068E" w:rsidRDefault="0025068E" w:rsidP="0025068E">
      <w:pPr>
        <w:pStyle w:val="ListParagraph"/>
        <w:numPr>
          <w:ilvl w:val="0"/>
          <w:numId w:val="28"/>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51536175" w14:textId="77777777" w:rsidR="0025068E" w:rsidRDefault="0025068E" w:rsidP="0025068E">
      <w:pPr>
        <w:pStyle w:val="ListParagraph"/>
        <w:numPr>
          <w:ilvl w:val="0"/>
          <w:numId w:val="28"/>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1B590E2A" w14:textId="77777777" w:rsidR="00FF4F99" w:rsidRDefault="0025068E" w:rsidP="00FF4F99">
      <w:pPr>
        <w:pStyle w:val="ListParagraph"/>
        <w:numPr>
          <w:ilvl w:val="0"/>
          <w:numId w:val="28"/>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41928FD2" w14:textId="36274399" w:rsidR="0025068E" w:rsidRPr="00FF4F99" w:rsidRDefault="0025068E" w:rsidP="00FF4F99">
      <w:pPr>
        <w:pStyle w:val="ListParagraph"/>
        <w:numPr>
          <w:ilvl w:val="0"/>
          <w:numId w:val="28"/>
        </w:numPr>
        <w:rPr>
          <w:sz w:val="22"/>
          <w:szCs w:val="22"/>
        </w:rPr>
      </w:pPr>
      <w:r w:rsidRPr="00FF4F99">
        <w:rPr>
          <w:sz w:val="22"/>
          <w:szCs w:val="22"/>
        </w:rPr>
        <w:t>There has been a significant shift towards supporting people with disability to live in private dwellings, rather than being in institutional care over recent decades. Largely this has been driven by changes for young people with disability.</w:t>
      </w:r>
    </w:p>
    <w:p w14:paraId="2EA4395E" w14:textId="77777777" w:rsidR="001B5973" w:rsidRDefault="001B5973" w:rsidP="00FE67A5">
      <w:pPr>
        <w:spacing w:before="0" w:after="0"/>
        <w:rPr>
          <w:sz w:val="22"/>
          <w:szCs w:val="22"/>
        </w:rPr>
      </w:pPr>
    </w:p>
    <w:p w14:paraId="53483FF3" w14:textId="203679E1" w:rsidR="00585739" w:rsidRDefault="00585739" w:rsidP="00585739">
      <w:pPr>
        <w:pStyle w:val="Heading2"/>
      </w:pPr>
      <w:r>
        <w:lastRenderedPageBreak/>
        <w:t>Additional Data</w:t>
      </w:r>
    </w:p>
    <w:p w14:paraId="5502F4E0" w14:textId="77777777" w:rsidR="00540EB5" w:rsidRPr="00175B16" w:rsidRDefault="00540EB5" w:rsidP="00540EB5">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6D791312" w14:textId="77777777" w:rsidR="00540EB5" w:rsidRDefault="00865C91" w:rsidP="00540EB5">
      <w:pPr>
        <w:rPr>
          <w:rStyle w:val="Hyperlink"/>
          <w:sz w:val="22"/>
          <w:szCs w:val="22"/>
        </w:rPr>
      </w:pPr>
      <w:hyperlink r:id="rId21" w:history="1">
        <w:r w:rsidR="00540EB5" w:rsidRPr="00175B16">
          <w:rPr>
            <w:rStyle w:val="Hyperlink"/>
            <w:sz w:val="22"/>
            <w:szCs w:val="22"/>
          </w:rPr>
          <w:t>https://www.facs.nsw.gov.au/resources/nsw-local-government-housing-kit/chapters/local-government-housing-kit-database</w:t>
        </w:r>
      </w:hyperlink>
    </w:p>
    <w:p w14:paraId="58DD8C07" w14:textId="77777777" w:rsidR="00540EB5" w:rsidRDefault="00540EB5" w:rsidP="00540EB5">
      <w:pPr>
        <w:rPr>
          <w:rStyle w:val="Hyperlink"/>
          <w:color w:val="auto"/>
          <w:sz w:val="22"/>
          <w:szCs w:val="22"/>
          <w:u w:val="none"/>
        </w:rPr>
      </w:pPr>
    </w:p>
    <w:p w14:paraId="4651D75D" w14:textId="77777777" w:rsidR="00540EB5" w:rsidRDefault="00540EB5" w:rsidP="00540EB5">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4CBFD710" w14:textId="77777777" w:rsidR="00540EB5" w:rsidRDefault="00540EB5" w:rsidP="00540EB5">
      <w:pPr>
        <w:rPr>
          <w:rStyle w:val="Hyperlink"/>
          <w:color w:val="auto"/>
          <w:sz w:val="22"/>
          <w:szCs w:val="22"/>
          <w:u w:val="none"/>
        </w:rPr>
      </w:pPr>
      <w:r>
        <w:rPr>
          <w:rStyle w:val="Hyperlink"/>
          <w:color w:val="auto"/>
          <w:sz w:val="22"/>
          <w:szCs w:val="22"/>
          <w:u w:val="none"/>
        </w:rPr>
        <w:t>The Australian Institute of Health and Welfare – Older Australians Housing and Living Arrangements on the AIHW website at:</w:t>
      </w:r>
    </w:p>
    <w:p w14:paraId="76AA5734" w14:textId="77777777" w:rsidR="00540EB5" w:rsidRDefault="00865C91" w:rsidP="00540EB5">
      <w:pPr>
        <w:rPr>
          <w:rStyle w:val="Hyperlink"/>
          <w:sz w:val="22"/>
          <w:szCs w:val="22"/>
        </w:rPr>
      </w:pPr>
      <w:hyperlink r:id="rId22" w:history="1">
        <w:r w:rsidR="00540EB5" w:rsidRPr="00E22625">
          <w:rPr>
            <w:rStyle w:val="Hyperlink"/>
            <w:sz w:val="22"/>
            <w:szCs w:val="22"/>
          </w:rPr>
          <w:t>https://www.aihw.gov.au/reports/older-people/older-australians/contents/housing-and-living-arrangements</w:t>
        </w:r>
      </w:hyperlink>
    </w:p>
    <w:p w14:paraId="7FE05049" w14:textId="77777777" w:rsidR="00540EB5" w:rsidRPr="004029DC" w:rsidRDefault="00540EB5" w:rsidP="00540EB5">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5B74FE06" w14:textId="77777777" w:rsidR="00540EB5" w:rsidRDefault="00865C91" w:rsidP="00540EB5">
      <w:pPr>
        <w:rPr>
          <w:sz w:val="22"/>
          <w:szCs w:val="22"/>
        </w:rPr>
      </w:pPr>
      <w:hyperlink r:id="rId23" w:history="1">
        <w:r w:rsidR="00540EB5" w:rsidRPr="00755D0F">
          <w:rPr>
            <w:rStyle w:val="Hyperlink"/>
            <w:sz w:val="22"/>
            <w:szCs w:val="22"/>
          </w:rPr>
          <w:t>https://www.aihw.gov.au/reports/disability/people-with-disability-in-australia/contents/people-with-disability/prevalence-of-disability</w:t>
        </w:r>
      </w:hyperlink>
    </w:p>
    <w:p w14:paraId="32420F9C" w14:textId="77777777" w:rsidR="00540EB5" w:rsidRDefault="00540EB5" w:rsidP="00540EB5">
      <w:pPr>
        <w:rPr>
          <w:sz w:val="22"/>
          <w:szCs w:val="22"/>
        </w:rPr>
      </w:pPr>
      <w:r>
        <w:rPr>
          <w:sz w:val="22"/>
          <w:szCs w:val="22"/>
        </w:rPr>
        <w:t>and relating to housing needs</w:t>
      </w:r>
    </w:p>
    <w:p w14:paraId="2B5DAEF0" w14:textId="77777777" w:rsidR="00540EB5" w:rsidRDefault="00865C91" w:rsidP="00540EB5">
      <w:pPr>
        <w:rPr>
          <w:sz w:val="22"/>
          <w:szCs w:val="22"/>
        </w:rPr>
      </w:pPr>
      <w:hyperlink r:id="rId24" w:history="1">
        <w:r w:rsidR="00540EB5" w:rsidRPr="00755D0F">
          <w:rPr>
            <w:rStyle w:val="Hyperlink"/>
            <w:sz w:val="22"/>
            <w:szCs w:val="22"/>
          </w:rPr>
          <w:t>https://www.aihw.gov.au/reports/disability/people-with-disability-in-australia/contents/housing</w:t>
        </w:r>
      </w:hyperlink>
    </w:p>
    <w:p w14:paraId="440CE9CE" w14:textId="77777777" w:rsidR="00540EB5" w:rsidRPr="00175B16" w:rsidRDefault="00540EB5" w:rsidP="00540EB5">
      <w:pPr>
        <w:rPr>
          <w:sz w:val="22"/>
          <w:szCs w:val="22"/>
        </w:rPr>
      </w:pPr>
      <w:r>
        <w:rPr>
          <w:sz w:val="22"/>
          <w:szCs w:val="22"/>
        </w:rPr>
        <w:t>T</w:t>
      </w:r>
      <w:r w:rsidRPr="00175B16">
        <w:rPr>
          <w:sz w:val="22"/>
          <w:szCs w:val="22"/>
        </w:rPr>
        <w:t>he Productivity Commission’s report Housing Decisions of Older Australians is at:</w:t>
      </w:r>
    </w:p>
    <w:p w14:paraId="3E725BA7" w14:textId="77777777" w:rsidR="00540EB5" w:rsidRPr="00175B16" w:rsidRDefault="00865C91" w:rsidP="00540EB5">
      <w:pPr>
        <w:rPr>
          <w:sz w:val="22"/>
          <w:szCs w:val="22"/>
        </w:rPr>
      </w:pPr>
      <w:hyperlink r:id="rId25" w:history="1">
        <w:r w:rsidR="00540EB5" w:rsidRPr="00175B16">
          <w:rPr>
            <w:rStyle w:val="Hyperlink"/>
            <w:sz w:val="22"/>
            <w:szCs w:val="22"/>
          </w:rPr>
          <w:t>https://www.pc.gov.au/research/completed/housing-decisions-older-australians</w:t>
        </w:r>
      </w:hyperlink>
    </w:p>
    <w:p w14:paraId="4432EB03" w14:textId="77777777" w:rsidR="00540EB5" w:rsidRPr="00175B16" w:rsidRDefault="00540EB5" w:rsidP="00540EB5">
      <w:pPr>
        <w:rPr>
          <w:sz w:val="22"/>
          <w:szCs w:val="22"/>
        </w:rPr>
      </w:pPr>
    </w:p>
    <w:p w14:paraId="706EA7A8" w14:textId="77777777" w:rsidR="00540EB5" w:rsidRDefault="00540EB5" w:rsidP="00540EB5">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6022C281" w14:textId="77777777" w:rsidR="00540EB5" w:rsidRPr="007A567E" w:rsidRDefault="00865C91" w:rsidP="00540EB5">
      <w:pPr>
        <w:rPr>
          <w:rFonts w:cs="Arial"/>
          <w:color w:val="1F497D"/>
          <w:sz w:val="22"/>
          <w:szCs w:val="22"/>
          <w:lang w:eastAsia="en-US"/>
        </w:rPr>
      </w:pPr>
      <w:hyperlink r:id="rId26" w:history="1">
        <w:r w:rsidR="00540EB5" w:rsidRPr="007A567E">
          <w:rPr>
            <w:rStyle w:val="Hyperlink"/>
            <w:rFonts w:cs="Arial"/>
            <w:sz w:val="22"/>
            <w:szCs w:val="22"/>
            <w:lang w:eastAsia="en-US"/>
          </w:rPr>
          <w:t>https://www.planning.nsw.gov.au/Research-and-Demography/Population-Projections/Projections</w:t>
        </w:r>
      </w:hyperlink>
    </w:p>
    <w:p w14:paraId="308CAD0D" w14:textId="77777777" w:rsidR="00540EB5" w:rsidRPr="007A567E" w:rsidRDefault="00865C91" w:rsidP="00540EB5">
      <w:pPr>
        <w:rPr>
          <w:rFonts w:cs="Arial"/>
          <w:color w:val="1F497D"/>
          <w:sz w:val="22"/>
          <w:szCs w:val="22"/>
          <w:lang w:eastAsia="en-US"/>
        </w:rPr>
      </w:pPr>
      <w:hyperlink r:id="rId27" w:history="1">
        <w:r w:rsidR="00540EB5" w:rsidRPr="007A567E">
          <w:rPr>
            <w:rStyle w:val="Hyperlink"/>
            <w:rFonts w:cs="Arial"/>
            <w:sz w:val="22"/>
            <w:szCs w:val="22"/>
            <w:lang w:eastAsia="en-US"/>
          </w:rPr>
          <w:t>https://pp.planningportal.nsw.gov.au/populations</w:t>
        </w:r>
      </w:hyperlink>
    </w:p>
    <w:p w14:paraId="1FD78B90" w14:textId="77777777" w:rsidR="00540EB5" w:rsidRPr="00175B16" w:rsidRDefault="00540EB5" w:rsidP="00540EB5">
      <w:pPr>
        <w:rPr>
          <w:sz w:val="22"/>
          <w:szCs w:val="22"/>
        </w:rPr>
      </w:pPr>
    </w:p>
    <w:p w14:paraId="2B11E3DD" w14:textId="77777777" w:rsidR="00540EB5" w:rsidRDefault="00540EB5" w:rsidP="00540EB5">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685F52E0" w14:textId="77777777" w:rsidR="00540EB5" w:rsidRDefault="00865C91" w:rsidP="00540EB5">
      <w:pPr>
        <w:rPr>
          <w:sz w:val="22"/>
          <w:szCs w:val="22"/>
        </w:rPr>
      </w:pPr>
      <w:hyperlink r:id="rId28" w:history="1">
        <w:r w:rsidR="00540EB5" w:rsidRPr="00374406">
          <w:rPr>
            <w:rStyle w:val="Hyperlink"/>
            <w:sz w:val="22"/>
            <w:szCs w:val="22"/>
          </w:rPr>
          <w:t>https://homelessnessnsw.org.au/resource/specialist-homelessness-service-data/</w:t>
        </w:r>
      </w:hyperlink>
    </w:p>
    <w:p w14:paraId="2BFB410E" w14:textId="77777777" w:rsidR="00540EB5" w:rsidRDefault="00540EB5" w:rsidP="00540EB5">
      <w:pPr>
        <w:rPr>
          <w:sz w:val="22"/>
          <w:szCs w:val="22"/>
        </w:rPr>
      </w:pPr>
      <w:r>
        <w:rPr>
          <w:sz w:val="22"/>
          <w:szCs w:val="22"/>
        </w:rPr>
        <w:t>And from the AIHW website here:</w:t>
      </w:r>
    </w:p>
    <w:p w14:paraId="60FB7C38" w14:textId="77777777" w:rsidR="00540EB5" w:rsidRDefault="00865C91" w:rsidP="00540EB5">
      <w:pPr>
        <w:rPr>
          <w:sz w:val="22"/>
          <w:szCs w:val="22"/>
        </w:rPr>
      </w:pPr>
      <w:hyperlink r:id="rId29" w:history="1">
        <w:r w:rsidR="00540EB5" w:rsidRPr="00374406">
          <w:rPr>
            <w:rStyle w:val="Hyperlink"/>
            <w:sz w:val="22"/>
            <w:szCs w:val="22"/>
          </w:rPr>
          <w:t>https://www.aihw.gov.au/reports/australias-welfare/homelessness-and-homelessness-services</w:t>
        </w:r>
      </w:hyperlink>
    </w:p>
    <w:p w14:paraId="2AD94AC9" w14:textId="77777777" w:rsidR="00540EB5" w:rsidRDefault="00540EB5" w:rsidP="00540EB5">
      <w:pPr>
        <w:rPr>
          <w:sz w:val="22"/>
          <w:szCs w:val="22"/>
        </w:rPr>
      </w:pPr>
      <w:r>
        <w:rPr>
          <w:sz w:val="22"/>
          <w:szCs w:val="22"/>
        </w:rPr>
        <w:t>The 2023 Street Count result is at the DCJ/ FACS website here:</w:t>
      </w:r>
    </w:p>
    <w:p w14:paraId="6D16BDB6" w14:textId="77777777" w:rsidR="00540EB5" w:rsidRDefault="00865C91" w:rsidP="00540EB5">
      <w:pPr>
        <w:rPr>
          <w:sz w:val="22"/>
          <w:szCs w:val="22"/>
        </w:rPr>
      </w:pPr>
      <w:hyperlink r:id="rId30" w:history="1">
        <w:r w:rsidR="00540EB5" w:rsidRPr="00374406">
          <w:rPr>
            <w:rStyle w:val="Hyperlink"/>
            <w:sz w:val="22"/>
            <w:szCs w:val="22"/>
          </w:rPr>
          <w:t>https://www.facs.nsw.gov.au/reforms/homelessness/premiers-priority-to-reduce-street-homelessness/street-count</w:t>
        </w:r>
      </w:hyperlink>
    </w:p>
    <w:p w14:paraId="1C78CDE7" w14:textId="77777777" w:rsidR="00540EB5" w:rsidRDefault="00540EB5" w:rsidP="00540EB5">
      <w:pPr>
        <w:rPr>
          <w:sz w:val="22"/>
          <w:szCs w:val="22"/>
        </w:rPr>
      </w:pPr>
      <w:r>
        <w:rPr>
          <w:sz w:val="22"/>
          <w:szCs w:val="22"/>
        </w:rPr>
        <w:t>Further information on ABS estimation of homelessness is available at the ABS website:</w:t>
      </w:r>
    </w:p>
    <w:p w14:paraId="617FE837" w14:textId="77777777" w:rsidR="00540EB5" w:rsidRDefault="00865C91" w:rsidP="00540EB5">
      <w:pPr>
        <w:rPr>
          <w:sz w:val="22"/>
          <w:szCs w:val="22"/>
        </w:rPr>
      </w:pPr>
      <w:hyperlink r:id="rId31" w:history="1">
        <w:r w:rsidR="00540EB5" w:rsidRPr="009911ED">
          <w:rPr>
            <w:rStyle w:val="Hyperlink"/>
            <w:sz w:val="22"/>
            <w:szCs w:val="22"/>
          </w:rPr>
          <w:t>https://www.abs.gov.au/statistics/people/housing/estimating-homelessness-census/2021</w:t>
        </w:r>
      </w:hyperlink>
    </w:p>
    <w:p w14:paraId="64EE6070" w14:textId="77777777" w:rsidR="00540EB5" w:rsidRPr="00540EB5" w:rsidRDefault="00540EB5" w:rsidP="00540EB5">
      <w:pPr>
        <w:rPr>
          <w:sz w:val="22"/>
          <w:szCs w:val="22"/>
        </w:rPr>
      </w:pPr>
    </w:p>
    <w:sectPr w:rsidR="00540EB5" w:rsidRPr="00540EB5" w:rsidSect="00BB657B">
      <w:headerReference w:type="default" r:id="rId32"/>
      <w:footerReference w:type="default" r:id="rId33"/>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B39E" w14:textId="77777777" w:rsidR="00D2036D" w:rsidRDefault="00D2036D">
      <w:r>
        <w:separator/>
      </w:r>
    </w:p>
  </w:endnote>
  <w:endnote w:type="continuationSeparator" w:id="0">
    <w:p w14:paraId="5F983F0B" w14:textId="77777777" w:rsidR="00D2036D" w:rsidRDefault="00D2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209853"/>
      <w:docPartObj>
        <w:docPartGallery w:val="Page Numbers (Bottom of Page)"/>
        <w:docPartUnique/>
      </w:docPartObj>
    </w:sdtPr>
    <w:sdtEndPr>
      <w:rPr>
        <w:noProof/>
      </w:rPr>
    </w:sdtEndPr>
    <w:sdtContent>
      <w:p w14:paraId="20333F0A" w14:textId="77777777" w:rsidR="00FA4F3E" w:rsidRDefault="00FA4F3E">
        <w:pPr>
          <w:pStyle w:val="Footer"/>
          <w:jc w:val="right"/>
        </w:pPr>
        <w:r>
          <w:fldChar w:fldCharType="begin"/>
        </w:r>
        <w:r>
          <w:instrText xml:space="preserve"> PAGE   \* MERGEFORMAT </w:instrText>
        </w:r>
        <w:r>
          <w:fldChar w:fldCharType="separate"/>
        </w:r>
        <w:r w:rsidR="00110B93">
          <w:rPr>
            <w:noProof/>
          </w:rPr>
          <w:t>14</w:t>
        </w:r>
        <w:r>
          <w:rPr>
            <w:noProof/>
          </w:rPr>
          <w:fldChar w:fldCharType="end"/>
        </w:r>
      </w:p>
    </w:sdtContent>
  </w:sdt>
  <w:p w14:paraId="69062DDC" w14:textId="77777777" w:rsidR="00D2036D" w:rsidRPr="00EC070F" w:rsidRDefault="00D2036D">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CE06" w14:textId="77777777" w:rsidR="00D2036D" w:rsidRDefault="00D2036D">
      <w:r>
        <w:separator/>
      </w:r>
    </w:p>
  </w:footnote>
  <w:footnote w:type="continuationSeparator" w:id="0">
    <w:p w14:paraId="1C7B4B7F" w14:textId="77777777" w:rsidR="00D2036D" w:rsidRDefault="00D2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9A80" w14:textId="77777777" w:rsidR="00D2036D" w:rsidRDefault="00D2036D" w:rsidP="00555F5C">
    <w:pPr>
      <w:pStyle w:val="Factsheet"/>
      <w:ind w:left="7200"/>
      <w:jc w:val="left"/>
    </w:pPr>
    <w:r>
      <w:rPr>
        <w:noProof/>
      </w:rPr>
      <w:drawing>
        <wp:anchor distT="0" distB="0" distL="114300" distR="114300" simplePos="0" relativeHeight="251659264" behindDoc="1" locked="0" layoutInCell="1" allowOverlap="1" wp14:anchorId="4324DA6D" wp14:editId="77DC4F87">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61B6D360" w14:textId="77777777" w:rsidR="00D2036D" w:rsidRPr="001F5B89" w:rsidRDefault="00D2036D"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A14C5"/>
    <w:multiLevelType w:val="hybridMultilevel"/>
    <w:tmpl w:val="E620F1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9A4122"/>
    <w:multiLevelType w:val="hybridMultilevel"/>
    <w:tmpl w:val="EE908B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B15C0"/>
    <w:multiLevelType w:val="multilevel"/>
    <w:tmpl w:val="7F48644A"/>
    <w:numStyleLink w:val="Bulletpoint"/>
  </w:abstractNum>
  <w:abstractNum w:abstractNumId="5"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C93AED"/>
    <w:multiLevelType w:val="hybridMultilevel"/>
    <w:tmpl w:val="67F6C6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7D3AB2"/>
    <w:multiLevelType w:val="hybridMultilevel"/>
    <w:tmpl w:val="39C6D7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301CCB"/>
    <w:multiLevelType w:val="hybridMultilevel"/>
    <w:tmpl w:val="7D627C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8904F4"/>
    <w:multiLevelType w:val="hybridMultilevel"/>
    <w:tmpl w:val="5D006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91270E"/>
    <w:multiLevelType w:val="multilevel"/>
    <w:tmpl w:val="7F48644A"/>
    <w:numStyleLink w:val="Bulletpoint"/>
  </w:abstractNum>
  <w:abstractNum w:abstractNumId="16" w15:restartNumberingAfterBreak="0">
    <w:nsid w:val="54114829"/>
    <w:multiLevelType w:val="multilevel"/>
    <w:tmpl w:val="7F48644A"/>
    <w:numStyleLink w:val="Bulletpoint"/>
  </w:abstractNum>
  <w:abstractNum w:abstractNumId="17" w15:restartNumberingAfterBreak="0">
    <w:nsid w:val="58FE4FD3"/>
    <w:multiLevelType w:val="hybridMultilevel"/>
    <w:tmpl w:val="15C2FA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CF42C4"/>
    <w:multiLevelType w:val="hybridMultilevel"/>
    <w:tmpl w:val="4F8C28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76CD3"/>
    <w:multiLevelType w:val="hybridMultilevel"/>
    <w:tmpl w:val="9474CBE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D87F82"/>
    <w:multiLevelType w:val="hybridMultilevel"/>
    <w:tmpl w:val="82EAB66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74460"/>
    <w:multiLevelType w:val="hybridMultilevel"/>
    <w:tmpl w:val="28BE7F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AC08FD"/>
    <w:multiLevelType w:val="hybridMultilevel"/>
    <w:tmpl w:val="F7D67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A334A"/>
    <w:multiLevelType w:val="hybridMultilevel"/>
    <w:tmpl w:val="54DA81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13279056">
    <w:abstractNumId w:val="0"/>
  </w:num>
  <w:num w:numId="2" w16cid:durableId="1809087793">
    <w:abstractNumId w:val="20"/>
  </w:num>
  <w:num w:numId="3" w16cid:durableId="1047874666">
    <w:abstractNumId w:val="16"/>
  </w:num>
  <w:num w:numId="4" w16cid:durableId="1921475563">
    <w:abstractNumId w:val="15"/>
  </w:num>
  <w:num w:numId="5" w16cid:durableId="1790467180">
    <w:abstractNumId w:val="4"/>
  </w:num>
  <w:num w:numId="6" w16cid:durableId="628976146">
    <w:abstractNumId w:val="23"/>
  </w:num>
  <w:num w:numId="7" w16cid:durableId="554970265">
    <w:abstractNumId w:val="3"/>
  </w:num>
  <w:num w:numId="8" w16cid:durableId="978533200">
    <w:abstractNumId w:val="26"/>
  </w:num>
  <w:num w:numId="9" w16cid:durableId="895899605">
    <w:abstractNumId w:val="25"/>
  </w:num>
  <w:num w:numId="10" w16cid:durableId="62259646">
    <w:abstractNumId w:val="18"/>
  </w:num>
  <w:num w:numId="11" w16cid:durableId="297802086">
    <w:abstractNumId w:val="9"/>
  </w:num>
  <w:num w:numId="12" w16cid:durableId="2018457983">
    <w:abstractNumId w:val="14"/>
  </w:num>
  <w:num w:numId="13" w16cid:durableId="1143892971">
    <w:abstractNumId w:val="22"/>
  </w:num>
  <w:num w:numId="14" w16cid:durableId="1142380440">
    <w:abstractNumId w:val="7"/>
  </w:num>
  <w:num w:numId="15" w16cid:durableId="607199356">
    <w:abstractNumId w:val="13"/>
  </w:num>
  <w:num w:numId="16" w16cid:durableId="1078988029">
    <w:abstractNumId w:val="5"/>
  </w:num>
  <w:num w:numId="17" w16cid:durableId="1753351278">
    <w:abstractNumId w:val="6"/>
  </w:num>
  <w:num w:numId="18" w16cid:durableId="1973976955">
    <w:abstractNumId w:val="17"/>
  </w:num>
  <w:num w:numId="19" w16cid:durableId="467674567">
    <w:abstractNumId w:val="21"/>
  </w:num>
  <w:num w:numId="20" w16cid:durableId="947850342">
    <w:abstractNumId w:val="10"/>
  </w:num>
  <w:num w:numId="21" w16cid:durableId="392041936">
    <w:abstractNumId w:val="28"/>
  </w:num>
  <w:num w:numId="22" w16cid:durableId="779372747">
    <w:abstractNumId w:val="11"/>
  </w:num>
  <w:num w:numId="23" w16cid:durableId="1718966656">
    <w:abstractNumId w:val="1"/>
  </w:num>
  <w:num w:numId="24" w16cid:durableId="29839971">
    <w:abstractNumId w:val="12"/>
  </w:num>
  <w:num w:numId="25" w16cid:durableId="1295407445">
    <w:abstractNumId w:val="27"/>
  </w:num>
  <w:num w:numId="26" w16cid:durableId="1142893763">
    <w:abstractNumId w:val="24"/>
  </w:num>
  <w:num w:numId="27" w16cid:durableId="567039535">
    <w:abstractNumId w:val="2"/>
  </w:num>
  <w:num w:numId="28" w16cid:durableId="1595625746">
    <w:abstractNumId w:val="8"/>
  </w:num>
  <w:num w:numId="29" w16cid:durableId="19846950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23FA"/>
    <w:rsid w:val="0000537C"/>
    <w:rsid w:val="000073E7"/>
    <w:rsid w:val="000128F8"/>
    <w:rsid w:val="00014DFA"/>
    <w:rsid w:val="0001509B"/>
    <w:rsid w:val="0002002B"/>
    <w:rsid w:val="00021AA7"/>
    <w:rsid w:val="0002385F"/>
    <w:rsid w:val="000238BE"/>
    <w:rsid w:val="00025B62"/>
    <w:rsid w:val="0002652D"/>
    <w:rsid w:val="0002705A"/>
    <w:rsid w:val="00027FDA"/>
    <w:rsid w:val="000301A0"/>
    <w:rsid w:val="00030682"/>
    <w:rsid w:val="00030840"/>
    <w:rsid w:val="000329C1"/>
    <w:rsid w:val="000331DB"/>
    <w:rsid w:val="00033AD1"/>
    <w:rsid w:val="00034FF7"/>
    <w:rsid w:val="0003643E"/>
    <w:rsid w:val="000411E5"/>
    <w:rsid w:val="00042E77"/>
    <w:rsid w:val="0004492A"/>
    <w:rsid w:val="00045AF7"/>
    <w:rsid w:val="00047744"/>
    <w:rsid w:val="00050277"/>
    <w:rsid w:val="000545D9"/>
    <w:rsid w:val="00054D7D"/>
    <w:rsid w:val="000563AD"/>
    <w:rsid w:val="000610BC"/>
    <w:rsid w:val="00062436"/>
    <w:rsid w:val="00064BA4"/>
    <w:rsid w:val="00067E94"/>
    <w:rsid w:val="00071F45"/>
    <w:rsid w:val="0007285B"/>
    <w:rsid w:val="00074085"/>
    <w:rsid w:val="0007502D"/>
    <w:rsid w:val="0007553F"/>
    <w:rsid w:val="0007698C"/>
    <w:rsid w:val="00077115"/>
    <w:rsid w:val="000773F2"/>
    <w:rsid w:val="0007784F"/>
    <w:rsid w:val="000808D2"/>
    <w:rsid w:val="000825C2"/>
    <w:rsid w:val="0008417F"/>
    <w:rsid w:val="0008467A"/>
    <w:rsid w:val="00085892"/>
    <w:rsid w:val="00086B8E"/>
    <w:rsid w:val="00086D91"/>
    <w:rsid w:val="0009596E"/>
    <w:rsid w:val="00095D8D"/>
    <w:rsid w:val="00096208"/>
    <w:rsid w:val="00096EE0"/>
    <w:rsid w:val="000A0F1E"/>
    <w:rsid w:val="000A1A8C"/>
    <w:rsid w:val="000A36E1"/>
    <w:rsid w:val="000A5290"/>
    <w:rsid w:val="000A5608"/>
    <w:rsid w:val="000A6642"/>
    <w:rsid w:val="000A7162"/>
    <w:rsid w:val="000B2634"/>
    <w:rsid w:val="000B2A74"/>
    <w:rsid w:val="000B3FA4"/>
    <w:rsid w:val="000B56D8"/>
    <w:rsid w:val="000B61E9"/>
    <w:rsid w:val="000B6AFE"/>
    <w:rsid w:val="000B75EB"/>
    <w:rsid w:val="000B7DB4"/>
    <w:rsid w:val="000C0268"/>
    <w:rsid w:val="000C12F7"/>
    <w:rsid w:val="000C1D2C"/>
    <w:rsid w:val="000C34A1"/>
    <w:rsid w:val="000C662F"/>
    <w:rsid w:val="000C6B1E"/>
    <w:rsid w:val="000D2599"/>
    <w:rsid w:val="000D4DF9"/>
    <w:rsid w:val="000D63D0"/>
    <w:rsid w:val="000D7FA3"/>
    <w:rsid w:val="000E078B"/>
    <w:rsid w:val="000E182F"/>
    <w:rsid w:val="000E1E21"/>
    <w:rsid w:val="000E2418"/>
    <w:rsid w:val="000E7008"/>
    <w:rsid w:val="000F053E"/>
    <w:rsid w:val="000F0B64"/>
    <w:rsid w:val="000F2095"/>
    <w:rsid w:val="000F2137"/>
    <w:rsid w:val="000F249F"/>
    <w:rsid w:val="000F3370"/>
    <w:rsid w:val="000F461F"/>
    <w:rsid w:val="000F6CE6"/>
    <w:rsid w:val="00101958"/>
    <w:rsid w:val="00104FC4"/>
    <w:rsid w:val="00105365"/>
    <w:rsid w:val="0011059C"/>
    <w:rsid w:val="00110B93"/>
    <w:rsid w:val="00113B05"/>
    <w:rsid w:val="00117158"/>
    <w:rsid w:val="001174B1"/>
    <w:rsid w:val="0012161B"/>
    <w:rsid w:val="00121C56"/>
    <w:rsid w:val="0012215F"/>
    <w:rsid w:val="00122385"/>
    <w:rsid w:val="00122CAE"/>
    <w:rsid w:val="00123C00"/>
    <w:rsid w:val="0012441C"/>
    <w:rsid w:val="00125996"/>
    <w:rsid w:val="0013027E"/>
    <w:rsid w:val="00131EA4"/>
    <w:rsid w:val="00132F07"/>
    <w:rsid w:val="001344D3"/>
    <w:rsid w:val="001344D4"/>
    <w:rsid w:val="001344DC"/>
    <w:rsid w:val="00135905"/>
    <w:rsid w:val="00137892"/>
    <w:rsid w:val="00137F70"/>
    <w:rsid w:val="00140885"/>
    <w:rsid w:val="00142AB5"/>
    <w:rsid w:val="00142DBC"/>
    <w:rsid w:val="001441BA"/>
    <w:rsid w:val="00144B44"/>
    <w:rsid w:val="00145F50"/>
    <w:rsid w:val="00146DD9"/>
    <w:rsid w:val="00147D09"/>
    <w:rsid w:val="001501E7"/>
    <w:rsid w:val="001502A1"/>
    <w:rsid w:val="00151375"/>
    <w:rsid w:val="001513E0"/>
    <w:rsid w:val="001517A4"/>
    <w:rsid w:val="00152CFA"/>
    <w:rsid w:val="00156081"/>
    <w:rsid w:val="0016242C"/>
    <w:rsid w:val="00162916"/>
    <w:rsid w:val="00163B75"/>
    <w:rsid w:val="00165BCC"/>
    <w:rsid w:val="0016630F"/>
    <w:rsid w:val="001663F4"/>
    <w:rsid w:val="001669DC"/>
    <w:rsid w:val="0017182A"/>
    <w:rsid w:val="00171F63"/>
    <w:rsid w:val="001742EA"/>
    <w:rsid w:val="00175CFF"/>
    <w:rsid w:val="0017634D"/>
    <w:rsid w:val="00177098"/>
    <w:rsid w:val="00182B29"/>
    <w:rsid w:val="00182CDB"/>
    <w:rsid w:val="00184737"/>
    <w:rsid w:val="00187BFC"/>
    <w:rsid w:val="001909CA"/>
    <w:rsid w:val="00197B58"/>
    <w:rsid w:val="001A04EE"/>
    <w:rsid w:val="001A0A02"/>
    <w:rsid w:val="001B00B6"/>
    <w:rsid w:val="001B17A1"/>
    <w:rsid w:val="001B27D6"/>
    <w:rsid w:val="001B2A55"/>
    <w:rsid w:val="001B3A46"/>
    <w:rsid w:val="001B4A6B"/>
    <w:rsid w:val="001B4D62"/>
    <w:rsid w:val="001B5973"/>
    <w:rsid w:val="001B79B1"/>
    <w:rsid w:val="001C15E4"/>
    <w:rsid w:val="001C236A"/>
    <w:rsid w:val="001C37D4"/>
    <w:rsid w:val="001C6396"/>
    <w:rsid w:val="001C7076"/>
    <w:rsid w:val="001C71A1"/>
    <w:rsid w:val="001D144E"/>
    <w:rsid w:val="001D3CC0"/>
    <w:rsid w:val="001D50C6"/>
    <w:rsid w:val="001D77A4"/>
    <w:rsid w:val="001E0AE4"/>
    <w:rsid w:val="001E1139"/>
    <w:rsid w:val="001E12EE"/>
    <w:rsid w:val="001E155D"/>
    <w:rsid w:val="001E227E"/>
    <w:rsid w:val="001E556C"/>
    <w:rsid w:val="001E783A"/>
    <w:rsid w:val="001F0C67"/>
    <w:rsid w:val="001F2B5D"/>
    <w:rsid w:val="001F3B60"/>
    <w:rsid w:val="001F4440"/>
    <w:rsid w:val="001F46C1"/>
    <w:rsid w:val="001F4DBF"/>
    <w:rsid w:val="001F5B89"/>
    <w:rsid w:val="001F5E9F"/>
    <w:rsid w:val="002010FF"/>
    <w:rsid w:val="00201EC7"/>
    <w:rsid w:val="00203AFA"/>
    <w:rsid w:val="00203F4C"/>
    <w:rsid w:val="00206468"/>
    <w:rsid w:val="00206CF7"/>
    <w:rsid w:val="00207B08"/>
    <w:rsid w:val="00211B89"/>
    <w:rsid w:val="0021405C"/>
    <w:rsid w:val="002140CA"/>
    <w:rsid w:val="00215557"/>
    <w:rsid w:val="0021655D"/>
    <w:rsid w:val="00217B75"/>
    <w:rsid w:val="00220972"/>
    <w:rsid w:val="00221FD2"/>
    <w:rsid w:val="00223136"/>
    <w:rsid w:val="0022472D"/>
    <w:rsid w:val="00224970"/>
    <w:rsid w:val="00226F44"/>
    <w:rsid w:val="002307C5"/>
    <w:rsid w:val="00233446"/>
    <w:rsid w:val="0023354E"/>
    <w:rsid w:val="00235151"/>
    <w:rsid w:val="00237B30"/>
    <w:rsid w:val="002407D0"/>
    <w:rsid w:val="002422C8"/>
    <w:rsid w:val="002426F8"/>
    <w:rsid w:val="00244007"/>
    <w:rsid w:val="00245811"/>
    <w:rsid w:val="0025068E"/>
    <w:rsid w:val="002552D9"/>
    <w:rsid w:val="00261F55"/>
    <w:rsid w:val="0026232D"/>
    <w:rsid w:val="00262CF8"/>
    <w:rsid w:val="0026359F"/>
    <w:rsid w:val="00263903"/>
    <w:rsid w:val="00266AEE"/>
    <w:rsid w:val="00266ECB"/>
    <w:rsid w:val="00270797"/>
    <w:rsid w:val="002718EB"/>
    <w:rsid w:val="00273BD2"/>
    <w:rsid w:val="002741D0"/>
    <w:rsid w:val="002759E0"/>
    <w:rsid w:val="002805F3"/>
    <w:rsid w:val="0028254B"/>
    <w:rsid w:val="00283423"/>
    <w:rsid w:val="0028595F"/>
    <w:rsid w:val="00285DA3"/>
    <w:rsid w:val="00285F85"/>
    <w:rsid w:val="00285F8B"/>
    <w:rsid w:val="0029450A"/>
    <w:rsid w:val="00294596"/>
    <w:rsid w:val="002976C9"/>
    <w:rsid w:val="002A2478"/>
    <w:rsid w:val="002A3643"/>
    <w:rsid w:val="002A4F3E"/>
    <w:rsid w:val="002A5780"/>
    <w:rsid w:val="002A63B7"/>
    <w:rsid w:val="002A75A1"/>
    <w:rsid w:val="002A7FC0"/>
    <w:rsid w:val="002B0833"/>
    <w:rsid w:val="002B0995"/>
    <w:rsid w:val="002B2FBC"/>
    <w:rsid w:val="002B5215"/>
    <w:rsid w:val="002B745C"/>
    <w:rsid w:val="002B79EF"/>
    <w:rsid w:val="002B7CEB"/>
    <w:rsid w:val="002C057A"/>
    <w:rsid w:val="002C1746"/>
    <w:rsid w:val="002C2918"/>
    <w:rsid w:val="002C2A57"/>
    <w:rsid w:val="002C48DC"/>
    <w:rsid w:val="002C546D"/>
    <w:rsid w:val="002C75FA"/>
    <w:rsid w:val="002C7846"/>
    <w:rsid w:val="002D12BC"/>
    <w:rsid w:val="002D13B1"/>
    <w:rsid w:val="002D2808"/>
    <w:rsid w:val="002D3D98"/>
    <w:rsid w:val="002D473B"/>
    <w:rsid w:val="002D7FF1"/>
    <w:rsid w:val="002E1475"/>
    <w:rsid w:val="002E4809"/>
    <w:rsid w:val="002E4E20"/>
    <w:rsid w:val="002E5E5E"/>
    <w:rsid w:val="002E7126"/>
    <w:rsid w:val="002F11C1"/>
    <w:rsid w:val="002F194D"/>
    <w:rsid w:val="002F1BF6"/>
    <w:rsid w:val="002F4E30"/>
    <w:rsid w:val="002F5488"/>
    <w:rsid w:val="002F61A0"/>
    <w:rsid w:val="002F7EDC"/>
    <w:rsid w:val="00300844"/>
    <w:rsid w:val="003033E8"/>
    <w:rsid w:val="00305829"/>
    <w:rsid w:val="00307D53"/>
    <w:rsid w:val="0031124B"/>
    <w:rsid w:val="003117CD"/>
    <w:rsid w:val="00315796"/>
    <w:rsid w:val="003173AB"/>
    <w:rsid w:val="003206DD"/>
    <w:rsid w:val="00320D58"/>
    <w:rsid w:val="00322977"/>
    <w:rsid w:val="00327216"/>
    <w:rsid w:val="003306A3"/>
    <w:rsid w:val="00330901"/>
    <w:rsid w:val="0033136D"/>
    <w:rsid w:val="00333D00"/>
    <w:rsid w:val="00334EDE"/>
    <w:rsid w:val="0033547A"/>
    <w:rsid w:val="00340AE4"/>
    <w:rsid w:val="0034140D"/>
    <w:rsid w:val="003433C7"/>
    <w:rsid w:val="00343FC0"/>
    <w:rsid w:val="003451FB"/>
    <w:rsid w:val="00350966"/>
    <w:rsid w:val="003511BA"/>
    <w:rsid w:val="003514DE"/>
    <w:rsid w:val="003519E4"/>
    <w:rsid w:val="00351E80"/>
    <w:rsid w:val="0035247A"/>
    <w:rsid w:val="00352D3F"/>
    <w:rsid w:val="003560A6"/>
    <w:rsid w:val="00356D66"/>
    <w:rsid w:val="00360C09"/>
    <w:rsid w:val="00360E5D"/>
    <w:rsid w:val="00360EA0"/>
    <w:rsid w:val="003612DA"/>
    <w:rsid w:val="003673A3"/>
    <w:rsid w:val="00371240"/>
    <w:rsid w:val="00373822"/>
    <w:rsid w:val="00374198"/>
    <w:rsid w:val="00374D77"/>
    <w:rsid w:val="00381D5C"/>
    <w:rsid w:val="0038260E"/>
    <w:rsid w:val="00382DD2"/>
    <w:rsid w:val="00383F13"/>
    <w:rsid w:val="0038482F"/>
    <w:rsid w:val="003864CF"/>
    <w:rsid w:val="003869F8"/>
    <w:rsid w:val="00386A5A"/>
    <w:rsid w:val="00391132"/>
    <w:rsid w:val="00393363"/>
    <w:rsid w:val="00394F0A"/>
    <w:rsid w:val="003A0D8E"/>
    <w:rsid w:val="003A1117"/>
    <w:rsid w:val="003A2183"/>
    <w:rsid w:val="003A2DAE"/>
    <w:rsid w:val="003A5B11"/>
    <w:rsid w:val="003A60EC"/>
    <w:rsid w:val="003A66E0"/>
    <w:rsid w:val="003A74D7"/>
    <w:rsid w:val="003B109B"/>
    <w:rsid w:val="003B1954"/>
    <w:rsid w:val="003B1DA2"/>
    <w:rsid w:val="003B2029"/>
    <w:rsid w:val="003B312B"/>
    <w:rsid w:val="003B4FA9"/>
    <w:rsid w:val="003B5958"/>
    <w:rsid w:val="003B626E"/>
    <w:rsid w:val="003B76E6"/>
    <w:rsid w:val="003B7C6B"/>
    <w:rsid w:val="003C0161"/>
    <w:rsid w:val="003C13B4"/>
    <w:rsid w:val="003C37B3"/>
    <w:rsid w:val="003C497F"/>
    <w:rsid w:val="003C643C"/>
    <w:rsid w:val="003D3F7D"/>
    <w:rsid w:val="003D6256"/>
    <w:rsid w:val="003D74B2"/>
    <w:rsid w:val="003E027E"/>
    <w:rsid w:val="003E040E"/>
    <w:rsid w:val="003E2B10"/>
    <w:rsid w:val="003E3494"/>
    <w:rsid w:val="003E6026"/>
    <w:rsid w:val="003E733C"/>
    <w:rsid w:val="003F0491"/>
    <w:rsid w:val="003F0F71"/>
    <w:rsid w:val="003F12EE"/>
    <w:rsid w:val="003F1D65"/>
    <w:rsid w:val="003F4AE1"/>
    <w:rsid w:val="003F53EB"/>
    <w:rsid w:val="003F5D47"/>
    <w:rsid w:val="003F7832"/>
    <w:rsid w:val="00403E95"/>
    <w:rsid w:val="00403ECB"/>
    <w:rsid w:val="00404713"/>
    <w:rsid w:val="0040586E"/>
    <w:rsid w:val="00413496"/>
    <w:rsid w:val="00414BE1"/>
    <w:rsid w:val="00414BFB"/>
    <w:rsid w:val="004157A1"/>
    <w:rsid w:val="0041637F"/>
    <w:rsid w:val="00417530"/>
    <w:rsid w:val="004209CB"/>
    <w:rsid w:val="00422F58"/>
    <w:rsid w:val="004245D1"/>
    <w:rsid w:val="004250D1"/>
    <w:rsid w:val="00426C75"/>
    <w:rsid w:val="00426CCF"/>
    <w:rsid w:val="0042706D"/>
    <w:rsid w:val="0042762C"/>
    <w:rsid w:val="00430715"/>
    <w:rsid w:val="0043154E"/>
    <w:rsid w:val="00431C7D"/>
    <w:rsid w:val="0043340B"/>
    <w:rsid w:val="00433911"/>
    <w:rsid w:val="00433F77"/>
    <w:rsid w:val="004344D4"/>
    <w:rsid w:val="00435FBE"/>
    <w:rsid w:val="0043730B"/>
    <w:rsid w:val="0043796A"/>
    <w:rsid w:val="00437E31"/>
    <w:rsid w:val="00443223"/>
    <w:rsid w:val="004450E5"/>
    <w:rsid w:val="0044771E"/>
    <w:rsid w:val="00456D1B"/>
    <w:rsid w:val="004578D4"/>
    <w:rsid w:val="00462C0D"/>
    <w:rsid w:val="00463348"/>
    <w:rsid w:val="00463693"/>
    <w:rsid w:val="00464392"/>
    <w:rsid w:val="00464E9C"/>
    <w:rsid w:val="00465278"/>
    <w:rsid w:val="00465B77"/>
    <w:rsid w:val="00465CA9"/>
    <w:rsid w:val="00466667"/>
    <w:rsid w:val="00471904"/>
    <w:rsid w:val="00471FED"/>
    <w:rsid w:val="00472613"/>
    <w:rsid w:val="00474D1F"/>
    <w:rsid w:val="00475124"/>
    <w:rsid w:val="00477082"/>
    <w:rsid w:val="0047716D"/>
    <w:rsid w:val="00480A39"/>
    <w:rsid w:val="00482A4A"/>
    <w:rsid w:val="004832C0"/>
    <w:rsid w:val="00483E4D"/>
    <w:rsid w:val="00484B78"/>
    <w:rsid w:val="00484FED"/>
    <w:rsid w:val="00486ADF"/>
    <w:rsid w:val="00487C45"/>
    <w:rsid w:val="004909FF"/>
    <w:rsid w:val="00492764"/>
    <w:rsid w:val="00492B05"/>
    <w:rsid w:val="00493E97"/>
    <w:rsid w:val="004955BF"/>
    <w:rsid w:val="00496318"/>
    <w:rsid w:val="00497695"/>
    <w:rsid w:val="00497A81"/>
    <w:rsid w:val="004A39D0"/>
    <w:rsid w:val="004A58FB"/>
    <w:rsid w:val="004A63CA"/>
    <w:rsid w:val="004B4725"/>
    <w:rsid w:val="004B47D6"/>
    <w:rsid w:val="004B6C9A"/>
    <w:rsid w:val="004B73E4"/>
    <w:rsid w:val="004B7AB7"/>
    <w:rsid w:val="004C19EC"/>
    <w:rsid w:val="004C4253"/>
    <w:rsid w:val="004C46B8"/>
    <w:rsid w:val="004C4868"/>
    <w:rsid w:val="004C7CEB"/>
    <w:rsid w:val="004D006D"/>
    <w:rsid w:val="004D0828"/>
    <w:rsid w:val="004D3681"/>
    <w:rsid w:val="004D4DC8"/>
    <w:rsid w:val="004D5B8A"/>
    <w:rsid w:val="004D5D40"/>
    <w:rsid w:val="004D7EA7"/>
    <w:rsid w:val="004E2BE2"/>
    <w:rsid w:val="004E63F8"/>
    <w:rsid w:val="004F2867"/>
    <w:rsid w:val="004F5225"/>
    <w:rsid w:val="004F68F4"/>
    <w:rsid w:val="00500814"/>
    <w:rsid w:val="00501A40"/>
    <w:rsid w:val="005025DF"/>
    <w:rsid w:val="005062B9"/>
    <w:rsid w:val="0050731C"/>
    <w:rsid w:val="005117CF"/>
    <w:rsid w:val="00512431"/>
    <w:rsid w:val="005138C1"/>
    <w:rsid w:val="00513B31"/>
    <w:rsid w:val="00514203"/>
    <w:rsid w:val="00515388"/>
    <w:rsid w:val="00516885"/>
    <w:rsid w:val="005176D3"/>
    <w:rsid w:val="00517C7E"/>
    <w:rsid w:val="00517D85"/>
    <w:rsid w:val="005221DE"/>
    <w:rsid w:val="005243CE"/>
    <w:rsid w:val="00525A23"/>
    <w:rsid w:val="00525FC6"/>
    <w:rsid w:val="005262A9"/>
    <w:rsid w:val="00532867"/>
    <w:rsid w:val="005361BF"/>
    <w:rsid w:val="005362AF"/>
    <w:rsid w:val="00537C3A"/>
    <w:rsid w:val="00540306"/>
    <w:rsid w:val="005408D8"/>
    <w:rsid w:val="00540BEA"/>
    <w:rsid w:val="00540EB5"/>
    <w:rsid w:val="00542D54"/>
    <w:rsid w:val="00543CE9"/>
    <w:rsid w:val="005501FF"/>
    <w:rsid w:val="00552DEE"/>
    <w:rsid w:val="00555F5C"/>
    <w:rsid w:val="00557D72"/>
    <w:rsid w:val="0056136E"/>
    <w:rsid w:val="0056392B"/>
    <w:rsid w:val="00564A6D"/>
    <w:rsid w:val="005659A2"/>
    <w:rsid w:val="00566044"/>
    <w:rsid w:val="005674AF"/>
    <w:rsid w:val="00567A30"/>
    <w:rsid w:val="00570A66"/>
    <w:rsid w:val="00572CB5"/>
    <w:rsid w:val="005736B4"/>
    <w:rsid w:val="0057662F"/>
    <w:rsid w:val="00577525"/>
    <w:rsid w:val="00577E52"/>
    <w:rsid w:val="0058035E"/>
    <w:rsid w:val="00581AED"/>
    <w:rsid w:val="00581C6C"/>
    <w:rsid w:val="00584469"/>
    <w:rsid w:val="00584587"/>
    <w:rsid w:val="0058515E"/>
    <w:rsid w:val="005852F8"/>
    <w:rsid w:val="00585739"/>
    <w:rsid w:val="005859FB"/>
    <w:rsid w:val="00585E90"/>
    <w:rsid w:val="00587B7D"/>
    <w:rsid w:val="00587FC3"/>
    <w:rsid w:val="005927CC"/>
    <w:rsid w:val="005A14CC"/>
    <w:rsid w:val="005A2F57"/>
    <w:rsid w:val="005A576C"/>
    <w:rsid w:val="005A5F47"/>
    <w:rsid w:val="005A74E6"/>
    <w:rsid w:val="005A7826"/>
    <w:rsid w:val="005B05EB"/>
    <w:rsid w:val="005B0ED3"/>
    <w:rsid w:val="005B3E6F"/>
    <w:rsid w:val="005B6DFC"/>
    <w:rsid w:val="005B72A1"/>
    <w:rsid w:val="005C03C7"/>
    <w:rsid w:val="005C0C76"/>
    <w:rsid w:val="005C11C0"/>
    <w:rsid w:val="005C1A32"/>
    <w:rsid w:val="005C3829"/>
    <w:rsid w:val="005D2418"/>
    <w:rsid w:val="005D3C1E"/>
    <w:rsid w:val="005D5243"/>
    <w:rsid w:val="005D7401"/>
    <w:rsid w:val="005E0EC4"/>
    <w:rsid w:val="005E304F"/>
    <w:rsid w:val="005E4202"/>
    <w:rsid w:val="005E5BE4"/>
    <w:rsid w:val="005E5D5C"/>
    <w:rsid w:val="005E793E"/>
    <w:rsid w:val="005F265C"/>
    <w:rsid w:val="005F384D"/>
    <w:rsid w:val="005F47CF"/>
    <w:rsid w:val="005F68CF"/>
    <w:rsid w:val="005F7BED"/>
    <w:rsid w:val="005F7C64"/>
    <w:rsid w:val="00602501"/>
    <w:rsid w:val="00602E79"/>
    <w:rsid w:val="006047A5"/>
    <w:rsid w:val="0060487B"/>
    <w:rsid w:val="00606514"/>
    <w:rsid w:val="00606598"/>
    <w:rsid w:val="00606934"/>
    <w:rsid w:val="00606B1E"/>
    <w:rsid w:val="00615C23"/>
    <w:rsid w:val="00616E28"/>
    <w:rsid w:val="00616FBF"/>
    <w:rsid w:val="0062186B"/>
    <w:rsid w:val="0062259C"/>
    <w:rsid w:val="00624F0D"/>
    <w:rsid w:val="00625C93"/>
    <w:rsid w:val="00626333"/>
    <w:rsid w:val="00626515"/>
    <w:rsid w:val="006268D0"/>
    <w:rsid w:val="00627656"/>
    <w:rsid w:val="0063059C"/>
    <w:rsid w:val="00635154"/>
    <w:rsid w:val="006407A6"/>
    <w:rsid w:val="00641926"/>
    <w:rsid w:val="00641B08"/>
    <w:rsid w:val="00643E54"/>
    <w:rsid w:val="006454C0"/>
    <w:rsid w:val="006461EC"/>
    <w:rsid w:val="006560D6"/>
    <w:rsid w:val="00656D1A"/>
    <w:rsid w:val="006572F3"/>
    <w:rsid w:val="00657E24"/>
    <w:rsid w:val="00657F81"/>
    <w:rsid w:val="006604A0"/>
    <w:rsid w:val="00662397"/>
    <w:rsid w:val="00662ABD"/>
    <w:rsid w:val="006632AB"/>
    <w:rsid w:val="0066560E"/>
    <w:rsid w:val="00667F27"/>
    <w:rsid w:val="006721C5"/>
    <w:rsid w:val="00673F44"/>
    <w:rsid w:val="0067451E"/>
    <w:rsid w:val="00675CB8"/>
    <w:rsid w:val="0067627A"/>
    <w:rsid w:val="00676748"/>
    <w:rsid w:val="00681CB1"/>
    <w:rsid w:val="0068374C"/>
    <w:rsid w:val="00683756"/>
    <w:rsid w:val="00684100"/>
    <w:rsid w:val="00684F7F"/>
    <w:rsid w:val="006856BA"/>
    <w:rsid w:val="00693256"/>
    <w:rsid w:val="0069529F"/>
    <w:rsid w:val="006971DF"/>
    <w:rsid w:val="006A0046"/>
    <w:rsid w:val="006A3F87"/>
    <w:rsid w:val="006A5D5F"/>
    <w:rsid w:val="006A6B04"/>
    <w:rsid w:val="006A6DB1"/>
    <w:rsid w:val="006B04CD"/>
    <w:rsid w:val="006B33CD"/>
    <w:rsid w:val="006B4028"/>
    <w:rsid w:val="006B480C"/>
    <w:rsid w:val="006B493D"/>
    <w:rsid w:val="006B5340"/>
    <w:rsid w:val="006B5948"/>
    <w:rsid w:val="006C0C3B"/>
    <w:rsid w:val="006C4381"/>
    <w:rsid w:val="006C4501"/>
    <w:rsid w:val="006C47B1"/>
    <w:rsid w:val="006D1E36"/>
    <w:rsid w:val="006D2E28"/>
    <w:rsid w:val="006D3D39"/>
    <w:rsid w:val="006D6D40"/>
    <w:rsid w:val="006E3BEB"/>
    <w:rsid w:val="006E4F29"/>
    <w:rsid w:val="006E79A0"/>
    <w:rsid w:val="006E7A71"/>
    <w:rsid w:val="006F0E4E"/>
    <w:rsid w:val="006F1DD2"/>
    <w:rsid w:val="006F2A74"/>
    <w:rsid w:val="006F3E7B"/>
    <w:rsid w:val="006F4102"/>
    <w:rsid w:val="006F4546"/>
    <w:rsid w:val="006F55AF"/>
    <w:rsid w:val="006F5CA9"/>
    <w:rsid w:val="006F678D"/>
    <w:rsid w:val="006F78C2"/>
    <w:rsid w:val="006F7E8A"/>
    <w:rsid w:val="00700862"/>
    <w:rsid w:val="00700FFE"/>
    <w:rsid w:val="0070389C"/>
    <w:rsid w:val="007039F2"/>
    <w:rsid w:val="00703E2D"/>
    <w:rsid w:val="00705798"/>
    <w:rsid w:val="00706202"/>
    <w:rsid w:val="00706E5A"/>
    <w:rsid w:val="00707737"/>
    <w:rsid w:val="00707B6E"/>
    <w:rsid w:val="00707D78"/>
    <w:rsid w:val="00711F21"/>
    <w:rsid w:val="007143CA"/>
    <w:rsid w:val="0072085C"/>
    <w:rsid w:val="00722530"/>
    <w:rsid w:val="007225CF"/>
    <w:rsid w:val="007227F3"/>
    <w:rsid w:val="00722BDC"/>
    <w:rsid w:val="00724361"/>
    <w:rsid w:val="0072526F"/>
    <w:rsid w:val="00725308"/>
    <w:rsid w:val="00726BCE"/>
    <w:rsid w:val="00730305"/>
    <w:rsid w:val="00730C7D"/>
    <w:rsid w:val="0073279D"/>
    <w:rsid w:val="00735662"/>
    <w:rsid w:val="00735D7C"/>
    <w:rsid w:val="00736BFA"/>
    <w:rsid w:val="0073706D"/>
    <w:rsid w:val="007370A0"/>
    <w:rsid w:val="007373FB"/>
    <w:rsid w:val="00737805"/>
    <w:rsid w:val="00740E3B"/>
    <w:rsid w:val="007418B7"/>
    <w:rsid w:val="007508FA"/>
    <w:rsid w:val="0075359D"/>
    <w:rsid w:val="007539EE"/>
    <w:rsid w:val="00753B0B"/>
    <w:rsid w:val="00753B5C"/>
    <w:rsid w:val="00756146"/>
    <w:rsid w:val="00760AA8"/>
    <w:rsid w:val="00761AA7"/>
    <w:rsid w:val="00761B41"/>
    <w:rsid w:val="007653AC"/>
    <w:rsid w:val="00766BFF"/>
    <w:rsid w:val="007712A3"/>
    <w:rsid w:val="007719DB"/>
    <w:rsid w:val="00773342"/>
    <w:rsid w:val="007775C2"/>
    <w:rsid w:val="0078400F"/>
    <w:rsid w:val="007848C2"/>
    <w:rsid w:val="007870F3"/>
    <w:rsid w:val="007904E8"/>
    <w:rsid w:val="0079293C"/>
    <w:rsid w:val="0079383D"/>
    <w:rsid w:val="00794002"/>
    <w:rsid w:val="00794B8E"/>
    <w:rsid w:val="007A0631"/>
    <w:rsid w:val="007A0AE7"/>
    <w:rsid w:val="007A1361"/>
    <w:rsid w:val="007A2415"/>
    <w:rsid w:val="007A4ACF"/>
    <w:rsid w:val="007A5679"/>
    <w:rsid w:val="007A6449"/>
    <w:rsid w:val="007A7B79"/>
    <w:rsid w:val="007B10A1"/>
    <w:rsid w:val="007B4E6B"/>
    <w:rsid w:val="007B796A"/>
    <w:rsid w:val="007C2068"/>
    <w:rsid w:val="007C314E"/>
    <w:rsid w:val="007C336E"/>
    <w:rsid w:val="007C5405"/>
    <w:rsid w:val="007C5444"/>
    <w:rsid w:val="007D0269"/>
    <w:rsid w:val="007D0D89"/>
    <w:rsid w:val="007D1E4A"/>
    <w:rsid w:val="007D5C84"/>
    <w:rsid w:val="007D5EE6"/>
    <w:rsid w:val="007D612F"/>
    <w:rsid w:val="007D7250"/>
    <w:rsid w:val="007D7989"/>
    <w:rsid w:val="007E0541"/>
    <w:rsid w:val="007E146A"/>
    <w:rsid w:val="007E283B"/>
    <w:rsid w:val="007E6506"/>
    <w:rsid w:val="007E6630"/>
    <w:rsid w:val="007E74CE"/>
    <w:rsid w:val="007F0DFF"/>
    <w:rsid w:val="007F21E1"/>
    <w:rsid w:val="007F249A"/>
    <w:rsid w:val="007F49B2"/>
    <w:rsid w:val="007F4BB5"/>
    <w:rsid w:val="007F4CD1"/>
    <w:rsid w:val="007F5F30"/>
    <w:rsid w:val="007F6563"/>
    <w:rsid w:val="008001A5"/>
    <w:rsid w:val="00802DD7"/>
    <w:rsid w:val="008034CF"/>
    <w:rsid w:val="008038EC"/>
    <w:rsid w:val="00807728"/>
    <w:rsid w:val="00810C20"/>
    <w:rsid w:val="0082299C"/>
    <w:rsid w:val="00822A85"/>
    <w:rsid w:val="00823721"/>
    <w:rsid w:val="00824B83"/>
    <w:rsid w:val="00830009"/>
    <w:rsid w:val="00830C15"/>
    <w:rsid w:val="008322F9"/>
    <w:rsid w:val="00832FAA"/>
    <w:rsid w:val="00834910"/>
    <w:rsid w:val="008355C2"/>
    <w:rsid w:val="008359C8"/>
    <w:rsid w:val="00841E54"/>
    <w:rsid w:val="00842CF0"/>
    <w:rsid w:val="0084320C"/>
    <w:rsid w:val="008432BF"/>
    <w:rsid w:val="00843501"/>
    <w:rsid w:val="0085229E"/>
    <w:rsid w:val="00852784"/>
    <w:rsid w:val="0085398A"/>
    <w:rsid w:val="0085449F"/>
    <w:rsid w:val="00855C78"/>
    <w:rsid w:val="00857426"/>
    <w:rsid w:val="00863346"/>
    <w:rsid w:val="0086371E"/>
    <w:rsid w:val="008640CC"/>
    <w:rsid w:val="008645E3"/>
    <w:rsid w:val="00864828"/>
    <w:rsid w:val="00865C91"/>
    <w:rsid w:val="00870743"/>
    <w:rsid w:val="008709B8"/>
    <w:rsid w:val="00872919"/>
    <w:rsid w:val="00872E5B"/>
    <w:rsid w:val="0087502F"/>
    <w:rsid w:val="008767AB"/>
    <w:rsid w:val="00877A34"/>
    <w:rsid w:val="00877A71"/>
    <w:rsid w:val="0088091F"/>
    <w:rsid w:val="00883962"/>
    <w:rsid w:val="008841B2"/>
    <w:rsid w:val="00884540"/>
    <w:rsid w:val="008849CE"/>
    <w:rsid w:val="008873F6"/>
    <w:rsid w:val="008940F6"/>
    <w:rsid w:val="00894C52"/>
    <w:rsid w:val="0089517C"/>
    <w:rsid w:val="008A1D94"/>
    <w:rsid w:val="008A530D"/>
    <w:rsid w:val="008A53DD"/>
    <w:rsid w:val="008A6A0D"/>
    <w:rsid w:val="008A7B08"/>
    <w:rsid w:val="008B1641"/>
    <w:rsid w:val="008B3B1D"/>
    <w:rsid w:val="008B4601"/>
    <w:rsid w:val="008B6191"/>
    <w:rsid w:val="008B6B17"/>
    <w:rsid w:val="008C09D9"/>
    <w:rsid w:val="008C140F"/>
    <w:rsid w:val="008C2FB2"/>
    <w:rsid w:val="008C2FB6"/>
    <w:rsid w:val="008C340F"/>
    <w:rsid w:val="008C4B87"/>
    <w:rsid w:val="008C5C56"/>
    <w:rsid w:val="008D12BF"/>
    <w:rsid w:val="008D367F"/>
    <w:rsid w:val="008D43FA"/>
    <w:rsid w:val="008D4793"/>
    <w:rsid w:val="008D4810"/>
    <w:rsid w:val="008D4CBD"/>
    <w:rsid w:val="008D5592"/>
    <w:rsid w:val="008D5C71"/>
    <w:rsid w:val="008E03EC"/>
    <w:rsid w:val="008E2FCC"/>
    <w:rsid w:val="008E3093"/>
    <w:rsid w:val="008E6C1E"/>
    <w:rsid w:val="008E7B78"/>
    <w:rsid w:val="008F2FB1"/>
    <w:rsid w:val="008F4C35"/>
    <w:rsid w:val="008F757B"/>
    <w:rsid w:val="00900828"/>
    <w:rsid w:val="00900D31"/>
    <w:rsid w:val="00901DE6"/>
    <w:rsid w:val="00903812"/>
    <w:rsid w:val="00903E99"/>
    <w:rsid w:val="00904A57"/>
    <w:rsid w:val="00906663"/>
    <w:rsid w:val="00907920"/>
    <w:rsid w:val="00912D7B"/>
    <w:rsid w:val="0091352A"/>
    <w:rsid w:val="00913682"/>
    <w:rsid w:val="00914AA2"/>
    <w:rsid w:val="00915392"/>
    <w:rsid w:val="00916AE4"/>
    <w:rsid w:val="00917E2A"/>
    <w:rsid w:val="0092477C"/>
    <w:rsid w:val="00925E78"/>
    <w:rsid w:val="00927434"/>
    <w:rsid w:val="009278A7"/>
    <w:rsid w:val="00930561"/>
    <w:rsid w:val="00931A41"/>
    <w:rsid w:val="009320E3"/>
    <w:rsid w:val="00932A55"/>
    <w:rsid w:val="00932E79"/>
    <w:rsid w:val="00933915"/>
    <w:rsid w:val="009430AD"/>
    <w:rsid w:val="00944CB0"/>
    <w:rsid w:val="0094542E"/>
    <w:rsid w:val="00946B23"/>
    <w:rsid w:val="0095060E"/>
    <w:rsid w:val="009518D2"/>
    <w:rsid w:val="0095329E"/>
    <w:rsid w:val="00953E8A"/>
    <w:rsid w:val="00960CA6"/>
    <w:rsid w:val="0096522A"/>
    <w:rsid w:val="009674B8"/>
    <w:rsid w:val="00970410"/>
    <w:rsid w:val="00970D43"/>
    <w:rsid w:val="00971CE0"/>
    <w:rsid w:val="009805BD"/>
    <w:rsid w:val="009806D3"/>
    <w:rsid w:val="0098118D"/>
    <w:rsid w:val="00981E50"/>
    <w:rsid w:val="009827BA"/>
    <w:rsid w:val="0098461E"/>
    <w:rsid w:val="00985076"/>
    <w:rsid w:val="0098586D"/>
    <w:rsid w:val="00987C51"/>
    <w:rsid w:val="00993332"/>
    <w:rsid w:val="0099637D"/>
    <w:rsid w:val="00997300"/>
    <w:rsid w:val="00997723"/>
    <w:rsid w:val="009A0E0E"/>
    <w:rsid w:val="009A3228"/>
    <w:rsid w:val="009A577D"/>
    <w:rsid w:val="009A7C06"/>
    <w:rsid w:val="009B03A5"/>
    <w:rsid w:val="009B0B84"/>
    <w:rsid w:val="009B275D"/>
    <w:rsid w:val="009B3925"/>
    <w:rsid w:val="009B6768"/>
    <w:rsid w:val="009B799E"/>
    <w:rsid w:val="009C09F9"/>
    <w:rsid w:val="009C139D"/>
    <w:rsid w:val="009C2BC1"/>
    <w:rsid w:val="009C2FC2"/>
    <w:rsid w:val="009C373D"/>
    <w:rsid w:val="009C39F9"/>
    <w:rsid w:val="009C4138"/>
    <w:rsid w:val="009C75AA"/>
    <w:rsid w:val="009D0DE8"/>
    <w:rsid w:val="009D1EF2"/>
    <w:rsid w:val="009D2F67"/>
    <w:rsid w:val="009D3B98"/>
    <w:rsid w:val="009D4F3C"/>
    <w:rsid w:val="009D4F40"/>
    <w:rsid w:val="009E1A41"/>
    <w:rsid w:val="009E3C87"/>
    <w:rsid w:val="009E3D82"/>
    <w:rsid w:val="009E46E2"/>
    <w:rsid w:val="009E4B0D"/>
    <w:rsid w:val="009E4DB0"/>
    <w:rsid w:val="009E7A79"/>
    <w:rsid w:val="009E7BCF"/>
    <w:rsid w:val="009E7D17"/>
    <w:rsid w:val="009F05C3"/>
    <w:rsid w:val="009F0CFA"/>
    <w:rsid w:val="009F3242"/>
    <w:rsid w:val="009F3EA5"/>
    <w:rsid w:val="009F46EF"/>
    <w:rsid w:val="009F5A7B"/>
    <w:rsid w:val="009F7F4D"/>
    <w:rsid w:val="00A03B45"/>
    <w:rsid w:val="00A05DE0"/>
    <w:rsid w:val="00A06DC4"/>
    <w:rsid w:val="00A06F4C"/>
    <w:rsid w:val="00A0732C"/>
    <w:rsid w:val="00A12F22"/>
    <w:rsid w:val="00A13250"/>
    <w:rsid w:val="00A140C4"/>
    <w:rsid w:val="00A160B4"/>
    <w:rsid w:val="00A160EE"/>
    <w:rsid w:val="00A2180C"/>
    <w:rsid w:val="00A21DD3"/>
    <w:rsid w:val="00A238C7"/>
    <w:rsid w:val="00A241FD"/>
    <w:rsid w:val="00A25CE3"/>
    <w:rsid w:val="00A277A4"/>
    <w:rsid w:val="00A3196A"/>
    <w:rsid w:val="00A327F9"/>
    <w:rsid w:val="00A33B90"/>
    <w:rsid w:val="00A33E02"/>
    <w:rsid w:val="00A33EF5"/>
    <w:rsid w:val="00A3617B"/>
    <w:rsid w:val="00A36BE4"/>
    <w:rsid w:val="00A413C4"/>
    <w:rsid w:val="00A4153B"/>
    <w:rsid w:val="00A428D7"/>
    <w:rsid w:val="00A440B8"/>
    <w:rsid w:val="00A44959"/>
    <w:rsid w:val="00A44CF3"/>
    <w:rsid w:val="00A47932"/>
    <w:rsid w:val="00A50459"/>
    <w:rsid w:val="00A51097"/>
    <w:rsid w:val="00A533BA"/>
    <w:rsid w:val="00A54292"/>
    <w:rsid w:val="00A54816"/>
    <w:rsid w:val="00A54F47"/>
    <w:rsid w:val="00A554CE"/>
    <w:rsid w:val="00A5593B"/>
    <w:rsid w:val="00A60F03"/>
    <w:rsid w:val="00A628C2"/>
    <w:rsid w:val="00A701DD"/>
    <w:rsid w:val="00A72113"/>
    <w:rsid w:val="00A73754"/>
    <w:rsid w:val="00A73802"/>
    <w:rsid w:val="00A76FBF"/>
    <w:rsid w:val="00A807C9"/>
    <w:rsid w:val="00A80F69"/>
    <w:rsid w:val="00A819EB"/>
    <w:rsid w:val="00A8318D"/>
    <w:rsid w:val="00A8375D"/>
    <w:rsid w:val="00A8445B"/>
    <w:rsid w:val="00A8484E"/>
    <w:rsid w:val="00A85D92"/>
    <w:rsid w:val="00A8639D"/>
    <w:rsid w:val="00A86628"/>
    <w:rsid w:val="00A87502"/>
    <w:rsid w:val="00A91C45"/>
    <w:rsid w:val="00A9434D"/>
    <w:rsid w:val="00A96FAD"/>
    <w:rsid w:val="00A972A4"/>
    <w:rsid w:val="00A97E8E"/>
    <w:rsid w:val="00A97EDE"/>
    <w:rsid w:val="00AA0677"/>
    <w:rsid w:val="00AA1C75"/>
    <w:rsid w:val="00AA1F7F"/>
    <w:rsid w:val="00AA3945"/>
    <w:rsid w:val="00AA6733"/>
    <w:rsid w:val="00AB25AB"/>
    <w:rsid w:val="00AB2F33"/>
    <w:rsid w:val="00AB4BED"/>
    <w:rsid w:val="00AB67A2"/>
    <w:rsid w:val="00AB6AC5"/>
    <w:rsid w:val="00AC2363"/>
    <w:rsid w:val="00AC61EC"/>
    <w:rsid w:val="00AC72F0"/>
    <w:rsid w:val="00AC7892"/>
    <w:rsid w:val="00AC791A"/>
    <w:rsid w:val="00AC7B28"/>
    <w:rsid w:val="00AD198A"/>
    <w:rsid w:val="00AD392C"/>
    <w:rsid w:val="00AD3E29"/>
    <w:rsid w:val="00AD7126"/>
    <w:rsid w:val="00AE05C4"/>
    <w:rsid w:val="00AE52BB"/>
    <w:rsid w:val="00AE59F0"/>
    <w:rsid w:val="00AE6C6D"/>
    <w:rsid w:val="00AF0285"/>
    <w:rsid w:val="00AF2848"/>
    <w:rsid w:val="00AF341B"/>
    <w:rsid w:val="00AF6A7F"/>
    <w:rsid w:val="00AF711A"/>
    <w:rsid w:val="00B000DB"/>
    <w:rsid w:val="00B029D7"/>
    <w:rsid w:val="00B02B2F"/>
    <w:rsid w:val="00B031D2"/>
    <w:rsid w:val="00B06988"/>
    <w:rsid w:val="00B1087F"/>
    <w:rsid w:val="00B11633"/>
    <w:rsid w:val="00B11C56"/>
    <w:rsid w:val="00B12A7B"/>
    <w:rsid w:val="00B136C8"/>
    <w:rsid w:val="00B15E36"/>
    <w:rsid w:val="00B20EB9"/>
    <w:rsid w:val="00B21A38"/>
    <w:rsid w:val="00B2208A"/>
    <w:rsid w:val="00B225BD"/>
    <w:rsid w:val="00B25D04"/>
    <w:rsid w:val="00B3373B"/>
    <w:rsid w:val="00B359F1"/>
    <w:rsid w:val="00B36D44"/>
    <w:rsid w:val="00B41260"/>
    <w:rsid w:val="00B41A1F"/>
    <w:rsid w:val="00B4316D"/>
    <w:rsid w:val="00B436F2"/>
    <w:rsid w:val="00B442B4"/>
    <w:rsid w:val="00B5290C"/>
    <w:rsid w:val="00B530A0"/>
    <w:rsid w:val="00B579B2"/>
    <w:rsid w:val="00B61809"/>
    <w:rsid w:val="00B65329"/>
    <w:rsid w:val="00B6725F"/>
    <w:rsid w:val="00B70335"/>
    <w:rsid w:val="00B72138"/>
    <w:rsid w:val="00B72875"/>
    <w:rsid w:val="00B745E9"/>
    <w:rsid w:val="00B74DC6"/>
    <w:rsid w:val="00B77ED0"/>
    <w:rsid w:val="00B80A0B"/>
    <w:rsid w:val="00B81F48"/>
    <w:rsid w:val="00B830DD"/>
    <w:rsid w:val="00B8325F"/>
    <w:rsid w:val="00B8491B"/>
    <w:rsid w:val="00B87718"/>
    <w:rsid w:val="00B9065D"/>
    <w:rsid w:val="00B907CD"/>
    <w:rsid w:val="00B91308"/>
    <w:rsid w:val="00B9232D"/>
    <w:rsid w:val="00B923F1"/>
    <w:rsid w:val="00B93AD1"/>
    <w:rsid w:val="00B93FBE"/>
    <w:rsid w:val="00B94763"/>
    <w:rsid w:val="00B94C54"/>
    <w:rsid w:val="00B96042"/>
    <w:rsid w:val="00BA31AA"/>
    <w:rsid w:val="00BA4230"/>
    <w:rsid w:val="00BA4468"/>
    <w:rsid w:val="00BA4598"/>
    <w:rsid w:val="00BA49E2"/>
    <w:rsid w:val="00BA5201"/>
    <w:rsid w:val="00BB0F1F"/>
    <w:rsid w:val="00BB11ED"/>
    <w:rsid w:val="00BB1545"/>
    <w:rsid w:val="00BB1802"/>
    <w:rsid w:val="00BB304A"/>
    <w:rsid w:val="00BB3FC9"/>
    <w:rsid w:val="00BB657B"/>
    <w:rsid w:val="00BB6DB7"/>
    <w:rsid w:val="00BB7E7F"/>
    <w:rsid w:val="00BC12FE"/>
    <w:rsid w:val="00BC1827"/>
    <w:rsid w:val="00BC1CB7"/>
    <w:rsid w:val="00BC237F"/>
    <w:rsid w:val="00BC263F"/>
    <w:rsid w:val="00BC2DA6"/>
    <w:rsid w:val="00BC589A"/>
    <w:rsid w:val="00BD0868"/>
    <w:rsid w:val="00BD1835"/>
    <w:rsid w:val="00BD1FC5"/>
    <w:rsid w:val="00BD2008"/>
    <w:rsid w:val="00BD3CD4"/>
    <w:rsid w:val="00BD710E"/>
    <w:rsid w:val="00BD75AF"/>
    <w:rsid w:val="00BE3E96"/>
    <w:rsid w:val="00BE6932"/>
    <w:rsid w:val="00BF0243"/>
    <w:rsid w:val="00BF73F0"/>
    <w:rsid w:val="00BF7961"/>
    <w:rsid w:val="00C02388"/>
    <w:rsid w:val="00C03748"/>
    <w:rsid w:val="00C04104"/>
    <w:rsid w:val="00C069DB"/>
    <w:rsid w:val="00C10460"/>
    <w:rsid w:val="00C10AAB"/>
    <w:rsid w:val="00C10F89"/>
    <w:rsid w:val="00C11A9A"/>
    <w:rsid w:val="00C11D3B"/>
    <w:rsid w:val="00C1543B"/>
    <w:rsid w:val="00C20CC5"/>
    <w:rsid w:val="00C212C5"/>
    <w:rsid w:val="00C2134C"/>
    <w:rsid w:val="00C23E09"/>
    <w:rsid w:val="00C274D6"/>
    <w:rsid w:val="00C32486"/>
    <w:rsid w:val="00C33295"/>
    <w:rsid w:val="00C33DD7"/>
    <w:rsid w:val="00C36A53"/>
    <w:rsid w:val="00C36D69"/>
    <w:rsid w:val="00C406FB"/>
    <w:rsid w:val="00C4100B"/>
    <w:rsid w:val="00C410A5"/>
    <w:rsid w:val="00C45899"/>
    <w:rsid w:val="00C45EA3"/>
    <w:rsid w:val="00C5065A"/>
    <w:rsid w:val="00C509C4"/>
    <w:rsid w:val="00C51B16"/>
    <w:rsid w:val="00C56180"/>
    <w:rsid w:val="00C5755B"/>
    <w:rsid w:val="00C61DAC"/>
    <w:rsid w:val="00C628C9"/>
    <w:rsid w:val="00C6472A"/>
    <w:rsid w:val="00C64EEA"/>
    <w:rsid w:val="00C65C95"/>
    <w:rsid w:val="00C73AAF"/>
    <w:rsid w:val="00C76C37"/>
    <w:rsid w:val="00C76E7C"/>
    <w:rsid w:val="00C8016A"/>
    <w:rsid w:val="00C81613"/>
    <w:rsid w:val="00C83EA4"/>
    <w:rsid w:val="00C84B7F"/>
    <w:rsid w:val="00C84EA9"/>
    <w:rsid w:val="00C8520A"/>
    <w:rsid w:val="00C8717F"/>
    <w:rsid w:val="00C9044A"/>
    <w:rsid w:val="00C9098F"/>
    <w:rsid w:val="00C90DC8"/>
    <w:rsid w:val="00C91045"/>
    <w:rsid w:val="00C92DB0"/>
    <w:rsid w:val="00C93EAA"/>
    <w:rsid w:val="00C943C1"/>
    <w:rsid w:val="00C94DCD"/>
    <w:rsid w:val="00C95BD4"/>
    <w:rsid w:val="00C9763D"/>
    <w:rsid w:val="00CA090E"/>
    <w:rsid w:val="00CA147F"/>
    <w:rsid w:val="00CA176C"/>
    <w:rsid w:val="00CA4627"/>
    <w:rsid w:val="00CA4B81"/>
    <w:rsid w:val="00CB1303"/>
    <w:rsid w:val="00CB3F1D"/>
    <w:rsid w:val="00CB6A03"/>
    <w:rsid w:val="00CB74C6"/>
    <w:rsid w:val="00CB7951"/>
    <w:rsid w:val="00CC4171"/>
    <w:rsid w:val="00CC47D6"/>
    <w:rsid w:val="00CC52A0"/>
    <w:rsid w:val="00CC5ABA"/>
    <w:rsid w:val="00CC5BC2"/>
    <w:rsid w:val="00CC63CB"/>
    <w:rsid w:val="00CD0663"/>
    <w:rsid w:val="00CD1B13"/>
    <w:rsid w:val="00CD20E2"/>
    <w:rsid w:val="00CD2467"/>
    <w:rsid w:val="00CD4467"/>
    <w:rsid w:val="00CD4DFB"/>
    <w:rsid w:val="00CD4F1D"/>
    <w:rsid w:val="00CD500A"/>
    <w:rsid w:val="00CD54F1"/>
    <w:rsid w:val="00CD5FE2"/>
    <w:rsid w:val="00CD7493"/>
    <w:rsid w:val="00CE0A3C"/>
    <w:rsid w:val="00CE0A64"/>
    <w:rsid w:val="00CE0DA5"/>
    <w:rsid w:val="00CE1400"/>
    <w:rsid w:val="00CE1AAF"/>
    <w:rsid w:val="00CE2BFA"/>
    <w:rsid w:val="00CE308B"/>
    <w:rsid w:val="00CF60B5"/>
    <w:rsid w:val="00CF72F4"/>
    <w:rsid w:val="00D017AC"/>
    <w:rsid w:val="00D02A8C"/>
    <w:rsid w:val="00D02F38"/>
    <w:rsid w:val="00D03827"/>
    <w:rsid w:val="00D05DE8"/>
    <w:rsid w:val="00D1285A"/>
    <w:rsid w:val="00D12B43"/>
    <w:rsid w:val="00D15F46"/>
    <w:rsid w:val="00D16824"/>
    <w:rsid w:val="00D17F58"/>
    <w:rsid w:val="00D201D7"/>
    <w:rsid w:val="00D2036D"/>
    <w:rsid w:val="00D2168E"/>
    <w:rsid w:val="00D24D6E"/>
    <w:rsid w:val="00D252CB"/>
    <w:rsid w:val="00D31827"/>
    <w:rsid w:val="00D33FB6"/>
    <w:rsid w:val="00D34538"/>
    <w:rsid w:val="00D3500F"/>
    <w:rsid w:val="00D35BD2"/>
    <w:rsid w:val="00D371B3"/>
    <w:rsid w:val="00D46427"/>
    <w:rsid w:val="00D4653F"/>
    <w:rsid w:val="00D4733E"/>
    <w:rsid w:val="00D50F88"/>
    <w:rsid w:val="00D52AB6"/>
    <w:rsid w:val="00D5391C"/>
    <w:rsid w:val="00D55136"/>
    <w:rsid w:val="00D55F3B"/>
    <w:rsid w:val="00D57FDC"/>
    <w:rsid w:val="00D60132"/>
    <w:rsid w:val="00D603D1"/>
    <w:rsid w:val="00D62274"/>
    <w:rsid w:val="00D65A58"/>
    <w:rsid w:val="00D6646A"/>
    <w:rsid w:val="00D66893"/>
    <w:rsid w:val="00D70D49"/>
    <w:rsid w:val="00D7166D"/>
    <w:rsid w:val="00D71C35"/>
    <w:rsid w:val="00D75E88"/>
    <w:rsid w:val="00D77D17"/>
    <w:rsid w:val="00D80D3B"/>
    <w:rsid w:val="00D82BCB"/>
    <w:rsid w:val="00D82D97"/>
    <w:rsid w:val="00D8339E"/>
    <w:rsid w:val="00D843E3"/>
    <w:rsid w:val="00D855DF"/>
    <w:rsid w:val="00D94163"/>
    <w:rsid w:val="00D956E1"/>
    <w:rsid w:val="00D9625C"/>
    <w:rsid w:val="00D97822"/>
    <w:rsid w:val="00DA151F"/>
    <w:rsid w:val="00DA1AF1"/>
    <w:rsid w:val="00DA2C9F"/>
    <w:rsid w:val="00DA400C"/>
    <w:rsid w:val="00DA453C"/>
    <w:rsid w:val="00DA4BE6"/>
    <w:rsid w:val="00DB0988"/>
    <w:rsid w:val="00DB0DC2"/>
    <w:rsid w:val="00DB1258"/>
    <w:rsid w:val="00DB15B2"/>
    <w:rsid w:val="00DB38F3"/>
    <w:rsid w:val="00DB602D"/>
    <w:rsid w:val="00DB67C2"/>
    <w:rsid w:val="00DC1120"/>
    <w:rsid w:val="00DC53B9"/>
    <w:rsid w:val="00DD1BFC"/>
    <w:rsid w:val="00DD1EAE"/>
    <w:rsid w:val="00DD201E"/>
    <w:rsid w:val="00DD3C56"/>
    <w:rsid w:val="00DD40BD"/>
    <w:rsid w:val="00DD447F"/>
    <w:rsid w:val="00DD6ED6"/>
    <w:rsid w:val="00DD7BCF"/>
    <w:rsid w:val="00DE08EE"/>
    <w:rsid w:val="00DE26C6"/>
    <w:rsid w:val="00DE341F"/>
    <w:rsid w:val="00DE4B44"/>
    <w:rsid w:val="00DE6323"/>
    <w:rsid w:val="00DF01A2"/>
    <w:rsid w:val="00DF248C"/>
    <w:rsid w:val="00DF25D5"/>
    <w:rsid w:val="00DF2CCC"/>
    <w:rsid w:val="00DF7C1A"/>
    <w:rsid w:val="00E01B9A"/>
    <w:rsid w:val="00E03633"/>
    <w:rsid w:val="00E104B7"/>
    <w:rsid w:val="00E1127A"/>
    <w:rsid w:val="00E12D9B"/>
    <w:rsid w:val="00E21308"/>
    <w:rsid w:val="00E21A7F"/>
    <w:rsid w:val="00E229C3"/>
    <w:rsid w:val="00E261A3"/>
    <w:rsid w:val="00E27E25"/>
    <w:rsid w:val="00E304DD"/>
    <w:rsid w:val="00E30BAC"/>
    <w:rsid w:val="00E31F06"/>
    <w:rsid w:val="00E363DC"/>
    <w:rsid w:val="00E37BA9"/>
    <w:rsid w:val="00E37EF1"/>
    <w:rsid w:val="00E4156C"/>
    <w:rsid w:val="00E43545"/>
    <w:rsid w:val="00E43BA3"/>
    <w:rsid w:val="00E448E2"/>
    <w:rsid w:val="00E474E8"/>
    <w:rsid w:val="00E521F7"/>
    <w:rsid w:val="00E536CE"/>
    <w:rsid w:val="00E55FC6"/>
    <w:rsid w:val="00E56A64"/>
    <w:rsid w:val="00E61144"/>
    <w:rsid w:val="00E6151E"/>
    <w:rsid w:val="00E62277"/>
    <w:rsid w:val="00E62860"/>
    <w:rsid w:val="00E63ECB"/>
    <w:rsid w:val="00E70D5B"/>
    <w:rsid w:val="00E712F4"/>
    <w:rsid w:val="00E71BA6"/>
    <w:rsid w:val="00E7275C"/>
    <w:rsid w:val="00E7327D"/>
    <w:rsid w:val="00E7446C"/>
    <w:rsid w:val="00E762FE"/>
    <w:rsid w:val="00E77E73"/>
    <w:rsid w:val="00E80E39"/>
    <w:rsid w:val="00E83B4B"/>
    <w:rsid w:val="00E83E02"/>
    <w:rsid w:val="00E8442D"/>
    <w:rsid w:val="00E86983"/>
    <w:rsid w:val="00E87E5C"/>
    <w:rsid w:val="00E91EF3"/>
    <w:rsid w:val="00E92A30"/>
    <w:rsid w:val="00E9507D"/>
    <w:rsid w:val="00E95B57"/>
    <w:rsid w:val="00E965D1"/>
    <w:rsid w:val="00E9684F"/>
    <w:rsid w:val="00E972E7"/>
    <w:rsid w:val="00E9750D"/>
    <w:rsid w:val="00E97541"/>
    <w:rsid w:val="00EA0959"/>
    <w:rsid w:val="00EA0B6A"/>
    <w:rsid w:val="00EA145B"/>
    <w:rsid w:val="00EA567C"/>
    <w:rsid w:val="00EA64A1"/>
    <w:rsid w:val="00EA69C2"/>
    <w:rsid w:val="00EA7C2A"/>
    <w:rsid w:val="00EB1364"/>
    <w:rsid w:val="00EB18D9"/>
    <w:rsid w:val="00EB2758"/>
    <w:rsid w:val="00EB7320"/>
    <w:rsid w:val="00EC070F"/>
    <w:rsid w:val="00EC227A"/>
    <w:rsid w:val="00EC2C66"/>
    <w:rsid w:val="00EC3933"/>
    <w:rsid w:val="00EC65A3"/>
    <w:rsid w:val="00ED01AE"/>
    <w:rsid w:val="00ED207A"/>
    <w:rsid w:val="00ED275E"/>
    <w:rsid w:val="00ED2C5C"/>
    <w:rsid w:val="00ED2E51"/>
    <w:rsid w:val="00ED34A3"/>
    <w:rsid w:val="00ED5A96"/>
    <w:rsid w:val="00ED6184"/>
    <w:rsid w:val="00ED61E6"/>
    <w:rsid w:val="00ED7C80"/>
    <w:rsid w:val="00EE0CC2"/>
    <w:rsid w:val="00EE0DAA"/>
    <w:rsid w:val="00EE1193"/>
    <w:rsid w:val="00EE1C34"/>
    <w:rsid w:val="00EE1D22"/>
    <w:rsid w:val="00EE3D84"/>
    <w:rsid w:val="00EE4589"/>
    <w:rsid w:val="00EF08C5"/>
    <w:rsid w:val="00EF0906"/>
    <w:rsid w:val="00EF19F8"/>
    <w:rsid w:val="00EF5176"/>
    <w:rsid w:val="00EF6641"/>
    <w:rsid w:val="00EF76C7"/>
    <w:rsid w:val="00F006D1"/>
    <w:rsid w:val="00F019C8"/>
    <w:rsid w:val="00F02A74"/>
    <w:rsid w:val="00F02A77"/>
    <w:rsid w:val="00F02E93"/>
    <w:rsid w:val="00F049E7"/>
    <w:rsid w:val="00F04DE5"/>
    <w:rsid w:val="00F0515B"/>
    <w:rsid w:val="00F05E37"/>
    <w:rsid w:val="00F06641"/>
    <w:rsid w:val="00F06667"/>
    <w:rsid w:val="00F076E0"/>
    <w:rsid w:val="00F07CF8"/>
    <w:rsid w:val="00F10C91"/>
    <w:rsid w:val="00F1448F"/>
    <w:rsid w:val="00F16868"/>
    <w:rsid w:val="00F17569"/>
    <w:rsid w:val="00F20B1A"/>
    <w:rsid w:val="00F21282"/>
    <w:rsid w:val="00F213E9"/>
    <w:rsid w:val="00F22FBC"/>
    <w:rsid w:val="00F23924"/>
    <w:rsid w:val="00F23B64"/>
    <w:rsid w:val="00F30525"/>
    <w:rsid w:val="00F310F7"/>
    <w:rsid w:val="00F330B0"/>
    <w:rsid w:val="00F3344A"/>
    <w:rsid w:val="00F33775"/>
    <w:rsid w:val="00F337A5"/>
    <w:rsid w:val="00F338B6"/>
    <w:rsid w:val="00F346D4"/>
    <w:rsid w:val="00F34B84"/>
    <w:rsid w:val="00F36AE4"/>
    <w:rsid w:val="00F40BC4"/>
    <w:rsid w:val="00F40E01"/>
    <w:rsid w:val="00F42BFC"/>
    <w:rsid w:val="00F434C5"/>
    <w:rsid w:val="00F474EC"/>
    <w:rsid w:val="00F51E2F"/>
    <w:rsid w:val="00F5392C"/>
    <w:rsid w:val="00F53C3C"/>
    <w:rsid w:val="00F57600"/>
    <w:rsid w:val="00F62FF1"/>
    <w:rsid w:val="00F631D8"/>
    <w:rsid w:val="00F633D0"/>
    <w:rsid w:val="00F64CE9"/>
    <w:rsid w:val="00F65A51"/>
    <w:rsid w:val="00F70FBD"/>
    <w:rsid w:val="00F7308A"/>
    <w:rsid w:val="00F74091"/>
    <w:rsid w:val="00F76CBF"/>
    <w:rsid w:val="00F8108F"/>
    <w:rsid w:val="00F84569"/>
    <w:rsid w:val="00F84A7C"/>
    <w:rsid w:val="00F864D5"/>
    <w:rsid w:val="00F92893"/>
    <w:rsid w:val="00F932DA"/>
    <w:rsid w:val="00F940D4"/>
    <w:rsid w:val="00F977F5"/>
    <w:rsid w:val="00FA1C5D"/>
    <w:rsid w:val="00FA32B8"/>
    <w:rsid w:val="00FA4F3E"/>
    <w:rsid w:val="00FA56D9"/>
    <w:rsid w:val="00FA5F12"/>
    <w:rsid w:val="00FB6E8F"/>
    <w:rsid w:val="00FB7D4A"/>
    <w:rsid w:val="00FC400A"/>
    <w:rsid w:val="00FC609F"/>
    <w:rsid w:val="00FC79B0"/>
    <w:rsid w:val="00FD14E2"/>
    <w:rsid w:val="00FD1CDF"/>
    <w:rsid w:val="00FD2451"/>
    <w:rsid w:val="00FD26DB"/>
    <w:rsid w:val="00FD7720"/>
    <w:rsid w:val="00FE0051"/>
    <w:rsid w:val="00FE35D0"/>
    <w:rsid w:val="00FE5EF5"/>
    <w:rsid w:val="00FE67A5"/>
    <w:rsid w:val="00FE759A"/>
    <w:rsid w:val="00FE7B45"/>
    <w:rsid w:val="00FF0CF4"/>
    <w:rsid w:val="00FF0DD8"/>
    <w:rsid w:val="00FF0F70"/>
    <w:rsid w:val="00FF16FB"/>
    <w:rsid w:val="00FF1930"/>
    <w:rsid w:val="00FF2828"/>
    <w:rsid w:val="00FF3980"/>
    <w:rsid w:val="00FF4624"/>
    <w:rsid w:val="00FF4F99"/>
    <w:rsid w:val="00FF56EB"/>
    <w:rsid w:val="00FF6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149FE205"/>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character" w:styleId="FootnoteReference">
    <w:name w:val="footnote reference"/>
    <w:unhideWhenUsed/>
    <w:rsid w:val="00FC400A"/>
    <w:rPr>
      <w:vertAlign w:val="superscript"/>
    </w:rPr>
  </w:style>
  <w:style w:type="paragraph" w:styleId="FootnoteText">
    <w:name w:val="footnote text"/>
    <w:basedOn w:val="Normal"/>
    <w:link w:val="FootnoteTextChar"/>
    <w:rsid w:val="00FC400A"/>
    <w:pPr>
      <w:spacing w:before="0" w:after="0"/>
    </w:pPr>
    <w:rPr>
      <w:sz w:val="20"/>
      <w:szCs w:val="20"/>
    </w:rPr>
  </w:style>
  <w:style w:type="character" w:customStyle="1" w:styleId="FootnoteTextChar">
    <w:name w:val="Footnote Text Char"/>
    <w:basedOn w:val="DefaultParagraphFont"/>
    <w:link w:val="FootnoteText"/>
    <w:rsid w:val="00FC400A"/>
    <w:rPr>
      <w:rFonts w:ascii="Arial" w:hAnsi="Arial"/>
    </w:rPr>
  </w:style>
  <w:style w:type="paragraph" w:styleId="ListParagraph">
    <w:name w:val="List Paragraph"/>
    <w:basedOn w:val="Normal"/>
    <w:uiPriority w:val="34"/>
    <w:qFormat/>
    <w:rsid w:val="009278A7"/>
    <w:pPr>
      <w:ind w:left="720"/>
      <w:contextualSpacing/>
    </w:pPr>
  </w:style>
  <w:style w:type="table" w:styleId="TableGrid">
    <w:name w:val="Table Grid"/>
    <w:basedOn w:val="TableNormal"/>
    <w:rsid w:val="0022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5068E"/>
    <w:rPr>
      <w:rFonts w:ascii="Arial" w:hAnsi="Arial" w:cs="Arial"/>
      <w:b/>
      <w:bCs/>
      <w:iCs/>
      <w:color w:val="4C8C2B"/>
      <w:sz w:val="32"/>
      <w:szCs w:val="28"/>
    </w:rPr>
  </w:style>
  <w:style w:type="character" w:customStyle="1" w:styleId="FooterChar">
    <w:name w:val="Footer Char"/>
    <w:basedOn w:val="DefaultParagraphFont"/>
    <w:link w:val="Footer"/>
    <w:uiPriority w:val="99"/>
    <w:rsid w:val="00FA4F3E"/>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3238">
      <w:bodyDiv w:val="1"/>
      <w:marLeft w:val="0"/>
      <w:marRight w:val="0"/>
      <w:marTop w:val="0"/>
      <w:marBottom w:val="0"/>
      <w:divBdr>
        <w:top w:val="none" w:sz="0" w:space="0" w:color="auto"/>
        <w:left w:val="none" w:sz="0" w:space="0" w:color="auto"/>
        <w:bottom w:val="none" w:sz="0" w:space="0" w:color="auto"/>
        <w:right w:val="none" w:sz="0" w:space="0" w:color="auto"/>
      </w:divBdr>
    </w:div>
    <w:div w:id="331225807">
      <w:bodyDiv w:val="1"/>
      <w:marLeft w:val="0"/>
      <w:marRight w:val="0"/>
      <w:marTop w:val="0"/>
      <w:marBottom w:val="0"/>
      <w:divBdr>
        <w:top w:val="none" w:sz="0" w:space="0" w:color="auto"/>
        <w:left w:val="none" w:sz="0" w:space="0" w:color="auto"/>
        <w:bottom w:val="none" w:sz="0" w:space="0" w:color="auto"/>
        <w:right w:val="none" w:sz="0" w:space="0" w:color="auto"/>
      </w:divBdr>
    </w:div>
    <w:div w:id="362900482">
      <w:bodyDiv w:val="1"/>
      <w:marLeft w:val="0"/>
      <w:marRight w:val="0"/>
      <w:marTop w:val="0"/>
      <w:marBottom w:val="0"/>
      <w:divBdr>
        <w:top w:val="none" w:sz="0" w:space="0" w:color="auto"/>
        <w:left w:val="none" w:sz="0" w:space="0" w:color="auto"/>
        <w:bottom w:val="none" w:sz="0" w:space="0" w:color="auto"/>
        <w:right w:val="none" w:sz="0" w:space="0" w:color="auto"/>
      </w:divBdr>
    </w:div>
    <w:div w:id="557134779">
      <w:bodyDiv w:val="1"/>
      <w:marLeft w:val="0"/>
      <w:marRight w:val="0"/>
      <w:marTop w:val="0"/>
      <w:marBottom w:val="0"/>
      <w:divBdr>
        <w:top w:val="none" w:sz="0" w:space="0" w:color="auto"/>
        <w:left w:val="none" w:sz="0" w:space="0" w:color="auto"/>
        <w:bottom w:val="none" w:sz="0" w:space="0" w:color="auto"/>
        <w:right w:val="none" w:sz="0" w:space="0" w:color="auto"/>
      </w:divBdr>
    </w:div>
    <w:div w:id="774011675">
      <w:bodyDiv w:val="1"/>
      <w:marLeft w:val="0"/>
      <w:marRight w:val="0"/>
      <w:marTop w:val="0"/>
      <w:marBottom w:val="0"/>
      <w:divBdr>
        <w:top w:val="none" w:sz="0" w:space="0" w:color="auto"/>
        <w:left w:val="none" w:sz="0" w:space="0" w:color="auto"/>
        <w:bottom w:val="none" w:sz="0" w:space="0" w:color="auto"/>
        <w:right w:val="none" w:sz="0" w:space="0" w:color="auto"/>
      </w:divBdr>
    </w:div>
    <w:div w:id="1314334376">
      <w:bodyDiv w:val="1"/>
      <w:marLeft w:val="0"/>
      <w:marRight w:val="0"/>
      <w:marTop w:val="0"/>
      <w:marBottom w:val="0"/>
      <w:divBdr>
        <w:top w:val="none" w:sz="0" w:space="0" w:color="auto"/>
        <w:left w:val="none" w:sz="0" w:space="0" w:color="auto"/>
        <w:bottom w:val="none" w:sz="0" w:space="0" w:color="auto"/>
        <w:right w:val="none" w:sz="0" w:space="0" w:color="auto"/>
      </w:divBdr>
    </w:div>
    <w:div w:id="1315794688">
      <w:bodyDiv w:val="1"/>
      <w:marLeft w:val="0"/>
      <w:marRight w:val="0"/>
      <w:marTop w:val="0"/>
      <w:marBottom w:val="0"/>
      <w:divBdr>
        <w:top w:val="none" w:sz="0" w:space="0" w:color="auto"/>
        <w:left w:val="none" w:sz="0" w:space="0" w:color="auto"/>
        <w:bottom w:val="none" w:sz="0" w:space="0" w:color="auto"/>
        <w:right w:val="none" w:sz="0" w:space="0" w:color="auto"/>
      </w:divBdr>
    </w:div>
    <w:div w:id="1762486439">
      <w:bodyDiv w:val="1"/>
      <w:marLeft w:val="0"/>
      <w:marRight w:val="0"/>
      <w:marTop w:val="0"/>
      <w:marBottom w:val="0"/>
      <w:divBdr>
        <w:top w:val="none" w:sz="0" w:space="0" w:color="auto"/>
        <w:left w:val="none" w:sz="0" w:space="0" w:color="auto"/>
        <w:bottom w:val="none" w:sz="0" w:space="0" w:color="auto"/>
        <w:right w:val="none" w:sz="0" w:space="0" w:color="auto"/>
      </w:divBdr>
    </w:div>
    <w:div w:id="1865704481">
      <w:bodyDiv w:val="1"/>
      <w:marLeft w:val="0"/>
      <w:marRight w:val="0"/>
      <w:marTop w:val="0"/>
      <w:marBottom w:val="0"/>
      <w:divBdr>
        <w:top w:val="none" w:sz="0" w:space="0" w:color="auto"/>
        <w:left w:val="none" w:sz="0" w:space="0" w:color="auto"/>
        <w:bottom w:val="none" w:sz="0" w:space="0" w:color="auto"/>
        <w:right w:val="none" w:sz="0" w:space="0" w:color="auto"/>
      </w:divBdr>
    </w:div>
    <w:div w:id="1888640545">
      <w:bodyDiv w:val="1"/>
      <w:marLeft w:val="0"/>
      <w:marRight w:val="0"/>
      <w:marTop w:val="0"/>
      <w:marBottom w:val="0"/>
      <w:divBdr>
        <w:top w:val="none" w:sz="0" w:space="0" w:color="auto"/>
        <w:left w:val="none" w:sz="0" w:space="0" w:color="auto"/>
        <w:bottom w:val="none" w:sz="0" w:space="0" w:color="auto"/>
        <w:right w:val="none" w:sz="0" w:space="0" w:color="auto"/>
      </w:divBdr>
    </w:div>
    <w:div w:id="1889950461">
      <w:bodyDiv w:val="1"/>
      <w:marLeft w:val="0"/>
      <w:marRight w:val="0"/>
      <w:marTop w:val="0"/>
      <w:marBottom w:val="0"/>
      <w:divBdr>
        <w:top w:val="none" w:sz="0" w:space="0" w:color="auto"/>
        <w:left w:val="none" w:sz="0" w:space="0" w:color="auto"/>
        <w:bottom w:val="none" w:sz="0" w:space="0" w:color="auto"/>
        <w:right w:val="none" w:sz="0" w:space="0" w:color="auto"/>
      </w:divBdr>
    </w:div>
    <w:div w:id="19009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planning.nsw.gov.au/Research-and-Demography/Population-Projections/Projections" TargetMode="External"/><Relationship Id="rId3" Type="http://schemas.openxmlformats.org/officeDocument/2006/relationships/styles" Target="styles.xml"/><Relationship Id="rId21" Type="http://schemas.openxmlformats.org/officeDocument/2006/relationships/hyperlink" Target="https://www.facs.nsw.gov.au/resources/nsw-local-government-housing-kit/chapters/local-government-housing-kit-databa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yperlink" Target="https://www.pc.gov.au/research/completed/housing-decisions-older-australian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yperlink" Target="https://www.aihw.gov.au/reports/australias-welfare/homelessness-and-homelessness-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ihw.gov.au/reports/disability/people-with-disability-in-australia/contents/hous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aihw.gov.au/reports/disability/people-with-disability-in-australia/contents/people-with-disability/prevalence-of-disability" TargetMode="External"/><Relationship Id="rId28" Type="http://schemas.openxmlformats.org/officeDocument/2006/relationships/hyperlink" Target="https://homelessnessnsw.org.au/resource/specialist-homelessness-service-data/"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yperlink" Target="https://www.abs.gov.au/statistics/people/housing/estimating-homelessness-census/202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s://www.aihw.gov.au/reports/older-people/older-australians/contents/housing-and-living-arrangements" TargetMode="External"/><Relationship Id="rId27" Type="http://schemas.openxmlformats.org/officeDocument/2006/relationships/hyperlink" Target="https://pp.planningportal.nsw.gov.au/populations" TargetMode="External"/><Relationship Id="rId30" Type="http://schemas.openxmlformats.org/officeDocument/2006/relationships/hyperlink" Target="https://www.facs.nsw.gov.au/reforms/homelessness/premiers-priority-to-reduce-street-homelessness/street-count"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9E0C-426A-4EDC-882D-F9C820EE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547</TotalTime>
  <Pages>15</Pages>
  <Words>3263</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22359</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and East Tablelands - What's the housing demand</dc:title>
  <dc:creator>Laura Yan Guo</dc:creator>
  <cp:lastModifiedBy>JOSHUA YOUKHANA</cp:lastModifiedBy>
  <cp:revision>79</cp:revision>
  <cp:lastPrinted>1900-12-31T14:00:00Z</cp:lastPrinted>
  <dcterms:created xsi:type="dcterms:W3CDTF">2023-01-24T02:55:00Z</dcterms:created>
  <dcterms:modified xsi:type="dcterms:W3CDTF">2023-09-13T06:10:00Z</dcterms:modified>
</cp:coreProperties>
</file>