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EFC3" w14:textId="77777777" w:rsidR="0050388E" w:rsidRPr="00CE3DDD" w:rsidRDefault="00EE5840" w:rsidP="0050388E">
      <w:pPr>
        <w:rPr>
          <w:color w:val="008000"/>
          <w:sz w:val="32"/>
        </w:rPr>
      </w:pPr>
      <w:r>
        <w:rPr>
          <w:b/>
          <w:color w:val="008000"/>
          <w:sz w:val="32"/>
        </w:rPr>
        <w:t>Hunter</w:t>
      </w:r>
      <w:r w:rsidR="0050388E">
        <w:rPr>
          <w:b/>
          <w:color w:val="008000"/>
          <w:sz w:val="32"/>
        </w:rPr>
        <w:t xml:space="preserve"> </w:t>
      </w:r>
      <w:r w:rsidR="0050388E" w:rsidRPr="00CE3DDD">
        <w:rPr>
          <w:b/>
          <w:color w:val="008000"/>
          <w:sz w:val="32"/>
        </w:rPr>
        <w:t xml:space="preserve">– What’s </w:t>
      </w:r>
      <w:r w:rsidR="0050388E">
        <w:rPr>
          <w:b/>
          <w:color w:val="008000"/>
          <w:sz w:val="32"/>
        </w:rPr>
        <w:t xml:space="preserve">Happening in </w:t>
      </w:r>
      <w:r w:rsidR="0050388E" w:rsidRPr="00CE3DDD">
        <w:rPr>
          <w:b/>
          <w:color w:val="008000"/>
          <w:sz w:val="32"/>
        </w:rPr>
        <w:t>the</w:t>
      </w:r>
      <w:r w:rsidR="0050388E">
        <w:rPr>
          <w:b/>
          <w:color w:val="008000"/>
          <w:sz w:val="32"/>
        </w:rPr>
        <w:t xml:space="preserve"> Housing Market</w:t>
      </w:r>
      <w:r w:rsidR="0050388E" w:rsidRPr="00CE3DDD">
        <w:rPr>
          <w:b/>
          <w:color w:val="008000"/>
          <w:sz w:val="32"/>
        </w:rPr>
        <w:t>?</w:t>
      </w:r>
    </w:p>
    <w:p w14:paraId="7975D14C" w14:textId="77777777" w:rsidR="0050388E" w:rsidRDefault="0050388E" w:rsidP="0050388E">
      <w:pPr>
        <w:rPr>
          <w:sz w:val="20"/>
          <w:szCs w:val="20"/>
        </w:rPr>
      </w:pPr>
    </w:p>
    <w:p w14:paraId="5CF7AB34" w14:textId="7BA3A17D" w:rsidR="00CF3412" w:rsidRDefault="00CF3412" w:rsidP="00CF3412">
      <w:pPr>
        <w:rPr>
          <w:sz w:val="22"/>
          <w:szCs w:val="22"/>
        </w:rPr>
      </w:pPr>
      <w:r>
        <w:rPr>
          <w:sz w:val="22"/>
          <w:szCs w:val="22"/>
        </w:rPr>
        <w:t xml:space="preserve">This Housing Snapshot looks at aspects of the housing market in the Hunter, particularly from the 2016 Census to the 2021 Census – including rents, vacancy rate, affordable private rental for very low and low income households, rental stress for low income households, number of new bonds lodged affordable to low income households, sales price, purchase affordability for very low and low income households and purchase stress for low income households. </w:t>
      </w:r>
    </w:p>
    <w:p w14:paraId="37EB390F" w14:textId="77777777" w:rsidR="00247FE5" w:rsidRDefault="00D40BC0" w:rsidP="0050388E">
      <w:pPr>
        <w:rPr>
          <w:sz w:val="22"/>
          <w:szCs w:val="22"/>
        </w:rPr>
      </w:pPr>
      <w:r w:rsidRPr="002C0AA5">
        <w:rPr>
          <w:sz w:val="22"/>
          <w:szCs w:val="22"/>
        </w:rPr>
        <w:t>The Hunter has</w:t>
      </w:r>
      <w:r w:rsidR="00247FE5" w:rsidRPr="002C0AA5">
        <w:rPr>
          <w:sz w:val="22"/>
          <w:szCs w:val="22"/>
        </w:rPr>
        <w:t xml:space="preserve"> a strong regional economy</w:t>
      </w:r>
      <w:r w:rsidR="00C41DED" w:rsidRPr="002C0AA5">
        <w:rPr>
          <w:sz w:val="22"/>
          <w:szCs w:val="22"/>
        </w:rPr>
        <w:t xml:space="preserve"> with projected continued </w:t>
      </w:r>
      <w:r w:rsidR="00247FE5" w:rsidRPr="002C0AA5">
        <w:rPr>
          <w:sz w:val="22"/>
          <w:szCs w:val="22"/>
        </w:rPr>
        <w:t xml:space="preserve">population growth, high amenity and environmental diversity and </w:t>
      </w:r>
      <w:r w:rsidRPr="002C0AA5">
        <w:rPr>
          <w:sz w:val="22"/>
          <w:szCs w:val="22"/>
        </w:rPr>
        <w:t xml:space="preserve">is also </w:t>
      </w:r>
      <w:r w:rsidR="00247FE5" w:rsidRPr="002C0AA5">
        <w:rPr>
          <w:sz w:val="22"/>
          <w:szCs w:val="22"/>
        </w:rPr>
        <w:t xml:space="preserve">close enough to Sydney to be </w:t>
      </w:r>
      <w:r w:rsidRPr="002C0AA5">
        <w:rPr>
          <w:sz w:val="22"/>
          <w:szCs w:val="22"/>
        </w:rPr>
        <w:t>impacted by the housing market there.  This region has seen strong price</w:t>
      </w:r>
      <w:r w:rsidR="00C41DED" w:rsidRPr="002C0AA5">
        <w:rPr>
          <w:sz w:val="22"/>
          <w:szCs w:val="22"/>
        </w:rPr>
        <w:t xml:space="preserve"> growth in both rents and sales</w:t>
      </w:r>
      <w:r w:rsidRPr="002C0AA5">
        <w:rPr>
          <w:sz w:val="22"/>
          <w:szCs w:val="22"/>
        </w:rPr>
        <w:t xml:space="preserve">, </w:t>
      </w:r>
      <w:r w:rsidR="00C41DED" w:rsidRPr="002C0AA5">
        <w:rPr>
          <w:sz w:val="22"/>
          <w:szCs w:val="22"/>
        </w:rPr>
        <w:t xml:space="preserve">prolonged </w:t>
      </w:r>
      <w:r w:rsidRPr="002C0AA5">
        <w:rPr>
          <w:sz w:val="22"/>
          <w:szCs w:val="22"/>
        </w:rPr>
        <w:t>tight vacancy rates</w:t>
      </w:r>
      <w:r w:rsidR="00C41DED" w:rsidRPr="002C0AA5">
        <w:rPr>
          <w:sz w:val="22"/>
          <w:szCs w:val="22"/>
        </w:rPr>
        <w:t xml:space="preserve"> indicating an undersupply of private rental</w:t>
      </w:r>
      <w:r w:rsidRPr="002C0AA5">
        <w:rPr>
          <w:sz w:val="22"/>
          <w:szCs w:val="22"/>
        </w:rPr>
        <w:t xml:space="preserve">, a </w:t>
      </w:r>
      <w:r w:rsidR="0033798F" w:rsidRPr="002C0AA5">
        <w:rPr>
          <w:sz w:val="22"/>
          <w:szCs w:val="22"/>
        </w:rPr>
        <w:t xml:space="preserve">significant </w:t>
      </w:r>
      <w:r w:rsidRPr="002C0AA5">
        <w:rPr>
          <w:sz w:val="22"/>
          <w:szCs w:val="22"/>
        </w:rPr>
        <w:t xml:space="preserve">loss of affordable </w:t>
      </w:r>
      <w:r w:rsidR="00C41DED" w:rsidRPr="002C0AA5">
        <w:rPr>
          <w:sz w:val="22"/>
          <w:szCs w:val="22"/>
        </w:rPr>
        <w:t xml:space="preserve">rental </w:t>
      </w:r>
      <w:r w:rsidRPr="002C0AA5">
        <w:rPr>
          <w:sz w:val="22"/>
          <w:szCs w:val="22"/>
        </w:rPr>
        <w:t>housing supply yet strong demand from the significant number of low income residents</w:t>
      </w:r>
      <w:r w:rsidR="0033798F" w:rsidRPr="002C0AA5">
        <w:rPr>
          <w:sz w:val="22"/>
          <w:szCs w:val="22"/>
        </w:rPr>
        <w:t>, with many residents in housing stress</w:t>
      </w:r>
      <w:r w:rsidRPr="002C0AA5">
        <w:rPr>
          <w:sz w:val="22"/>
          <w:szCs w:val="22"/>
        </w:rPr>
        <w:t>.</w:t>
      </w:r>
    </w:p>
    <w:p w14:paraId="55F8D661" w14:textId="77777777" w:rsidR="00DB7EB3" w:rsidRPr="002B2D5B" w:rsidRDefault="000146D8" w:rsidP="00DB7EB3">
      <w:pPr>
        <w:rPr>
          <w:sz w:val="22"/>
          <w:szCs w:val="22"/>
        </w:rPr>
      </w:pPr>
      <w:r>
        <w:rPr>
          <w:sz w:val="22"/>
          <w:szCs w:val="22"/>
        </w:rPr>
        <w:t>There have been changes across the Hunter since the 20</w:t>
      </w:r>
      <w:r w:rsidR="004F6436">
        <w:rPr>
          <w:sz w:val="22"/>
          <w:szCs w:val="22"/>
        </w:rPr>
        <w:t>21</w:t>
      </w:r>
      <w:r>
        <w:rPr>
          <w:sz w:val="22"/>
          <w:szCs w:val="22"/>
        </w:rPr>
        <w:t xml:space="preserve"> Census, with Covid </w:t>
      </w:r>
      <w:r w:rsidR="00DB7EB3">
        <w:rPr>
          <w:sz w:val="22"/>
          <w:szCs w:val="22"/>
        </w:rPr>
        <w:t xml:space="preserve">having an impact on the </w:t>
      </w:r>
      <w:r w:rsidR="00DB7EB3" w:rsidRPr="002B2D5B">
        <w:rPr>
          <w:sz w:val="22"/>
          <w:szCs w:val="22"/>
        </w:rPr>
        <w:t>housing market</w:t>
      </w:r>
      <w:r>
        <w:rPr>
          <w:sz w:val="22"/>
          <w:szCs w:val="22"/>
        </w:rPr>
        <w:t>. R</w:t>
      </w:r>
      <w:r w:rsidR="00DB7EB3">
        <w:rPr>
          <w:sz w:val="22"/>
          <w:szCs w:val="22"/>
        </w:rPr>
        <w:t xml:space="preserve">ecent additional cost of living pressures, including rising inflation and interest rates with continued low wage growth, have </w:t>
      </w:r>
      <w:r>
        <w:rPr>
          <w:sz w:val="22"/>
          <w:szCs w:val="22"/>
        </w:rPr>
        <w:t xml:space="preserve">created further difficulties </w:t>
      </w:r>
      <w:r w:rsidR="00DB7EB3">
        <w:rPr>
          <w:sz w:val="22"/>
          <w:szCs w:val="22"/>
        </w:rPr>
        <w:t xml:space="preserve">for lower income earners and their capacity to manage housing costs.  </w:t>
      </w:r>
    </w:p>
    <w:p w14:paraId="46453096" w14:textId="77777777" w:rsidR="0050388E" w:rsidRDefault="0050388E" w:rsidP="0050388E"/>
    <w:p w14:paraId="6765D32A" w14:textId="77777777" w:rsidR="00E1656E" w:rsidRDefault="00EE5840" w:rsidP="00E1656E">
      <w:pPr>
        <w:jc w:val="both"/>
        <w:rPr>
          <w:b/>
          <w:color w:val="008000"/>
          <w:sz w:val="32"/>
        </w:rPr>
      </w:pPr>
      <w:r>
        <w:rPr>
          <w:b/>
          <w:color w:val="008000"/>
          <w:sz w:val="32"/>
        </w:rPr>
        <w:t xml:space="preserve">Hunter </w:t>
      </w:r>
      <w:r w:rsidR="00E1656E">
        <w:rPr>
          <w:b/>
          <w:color w:val="008000"/>
          <w:sz w:val="32"/>
        </w:rPr>
        <w:t xml:space="preserve">Region </w:t>
      </w:r>
      <w:r w:rsidR="00E1656E" w:rsidRPr="00CE3DDD">
        <w:rPr>
          <w:b/>
          <w:color w:val="008000"/>
          <w:sz w:val="32"/>
        </w:rPr>
        <w:t xml:space="preserve">– What’s </w:t>
      </w:r>
      <w:r w:rsidR="00E1656E">
        <w:rPr>
          <w:b/>
          <w:color w:val="008000"/>
          <w:sz w:val="32"/>
        </w:rPr>
        <w:t xml:space="preserve">Happening in </w:t>
      </w:r>
      <w:r w:rsidR="00E1656E" w:rsidRPr="00CE3DDD">
        <w:rPr>
          <w:b/>
          <w:color w:val="008000"/>
          <w:sz w:val="32"/>
        </w:rPr>
        <w:t>the</w:t>
      </w:r>
      <w:r w:rsidR="00E1656E">
        <w:rPr>
          <w:b/>
          <w:color w:val="008000"/>
          <w:sz w:val="32"/>
        </w:rPr>
        <w:t xml:space="preserve"> </w:t>
      </w:r>
      <w:r w:rsidR="00E1656E" w:rsidRPr="00CE3DDD">
        <w:rPr>
          <w:b/>
          <w:color w:val="008000"/>
          <w:sz w:val="32"/>
        </w:rPr>
        <w:t>Housing</w:t>
      </w:r>
      <w:r w:rsidR="00E1656E">
        <w:rPr>
          <w:b/>
          <w:color w:val="008000"/>
          <w:sz w:val="32"/>
        </w:rPr>
        <w:t xml:space="preserve"> Market</w:t>
      </w:r>
      <w:r w:rsidR="00E1656E" w:rsidRPr="00CE3DDD">
        <w:rPr>
          <w:b/>
          <w:color w:val="008000"/>
          <w:sz w:val="32"/>
        </w:rPr>
        <w:t>?</w:t>
      </w:r>
    </w:p>
    <w:p w14:paraId="4862E8F2" w14:textId="77777777" w:rsidR="00E1656E" w:rsidRPr="006F3EEE" w:rsidRDefault="00E1656E" w:rsidP="00E1656E">
      <w:pPr>
        <w:pStyle w:val="Heading1"/>
        <w:jc w:val="both"/>
        <w:rPr>
          <w:b/>
          <w:i/>
          <w:color w:val="008000"/>
          <w:kern w:val="0"/>
          <w:sz w:val="32"/>
        </w:rPr>
      </w:pPr>
      <w:r w:rsidRPr="006F3EEE">
        <w:rPr>
          <w:b/>
          <w:i/>
          <w:color w:val="008000"/>
          <w:kern w:val="0"/>
          <w:sz w:val="32"/>
        </w:rPr>
        <w:t>Housing Market - Rental</w:t>
      </w:r>
    </w:p>
    <w:p w14:paraId="158F5AF7" w14:textId="77777777" w:rsidR="00E1656E" w:rsidRDefault="00E1656E" w:rsidP="00E1656E">
      <w:pPr>
        <w:jc w:val="both"/>
      </w:pPr>
    </w:p>
    <w:p w14:paraId="37A18169" w14:textId="77777777" w:rsidR="00E1656E" w:rsidRPr="001C58F3" w:rsidRDefault="00E1656E" w:rsidP="00E1656E">
      <w:pPr>
        <w:jc w:val="both"/>
        <w:rPr>
          <w:b/>
          <w:color w:val="008000"/>
          <w:sz w:val="32"/>
        </w:rPr>
      </w:pPr>
      <w:r>
        <w:rPr>
          <w:b/>
          <w:color w:val="008000"/>
          <w:sz w:val="32"/>
        </w:rPr>
        <w:t>R</w:t>
      </w:r>
      <w:r w:rsidRPr="001C58F3">
        <w:rPr>
          <w:b/>
          <w:color w:val="008000"/>
          <w:sz w:val="32"/>
        </w:rPr>
        <w:t>e</w:t>
      </w:r>
      <w:r>
        <w:rPr>
          <w:b/>
          <w:color w:val="008000"/>
          <w:sz w:val="32"/>
        </w:rPr>
        <w:t>nts</w:t>
      </w:r>
    </w:p>
    <w:p w14:paraId="49EE5E27" w14:textId="77777777" w:rsidR="004D1AB0" w:rsidRDefault="00E1656E" w:rsidP="004D6B96">
      <w:pPr>
        <w:numPr>
          <w:ilvl w:val="0"/>
          <w:numId w:val="2"/>
        </w:numPr>
        <w:spacing w:before="0" w:after="0"/>
        <w:jc w:val="both"/>
        <w:rPr>
          <w:sz w:val="22"/>
          <w:szCs w:val="22"/>
        </w:rPr>
      </w:pPr>
      <w:r w:rsidRPr="00834632">
        <w:rPr>
          <w:sz w:val="22"/>
          <w:szCs w:val="22"/>
        </w:rPr>
        <w:t xml:space="preserve">There </w:t>
      </w:r>
      <w:r w:rsidR="00834632">
        <w:rPr>
          <w:sz w:val="22"/>
          <w:szCs w:val="22"/>
        </w:rPr>
        <w:t xml:space="preserve">has been strong growth </w:t>
      </w:r>
      <w:r w:rsidRPr="00834632">
        <w:rPr>
          <w:sz w:val="22"/>
          <w:szCs w:val="22"/>
        </w:rPr>
        <w:t>in median rents</w:t>
      </w:r>
      <w:r w:rsidR="000B2289" w:rsidRPr="00834632">
        <w:rPr>
          <w:sz w:val="22"/>
          <w:szCs w:val="22"/>
        </w:rPr>
        <w:t xml:space="preserve"> for all dwelling</w:t>
      </w:r>
      <w:r w:rsidR="00834632">
        <w:rPr>
          <w:sz w:val="22"/>
          <w:szCs w:val="22"/>
        </w:rPr>
        <w:t xml:space="preserve">s (including all housing </w:t>
      </w:r>
      <w:r w:rsidR="000B2289" w:rsidRPr="00834632">
        <w:rPr>
          <w:sz w:val="22"/>
          <w:szCs w:val="22"/>
        </w:rPr>
        <w:t>types</w:t>
      </w:r>
      <w:r w:rsidRPr="00834632">
        <w:rPr>
          <w:sz w:val="22"/>
          <w:szCs w:val="22"/>
        </w:rPr>
        <w:t xml:space="preserve"> </w:t>
      </w:r>
      <w:r w:rsidR="00834632">
        <w:rPr>
          <w:sz w:val="22"/>
          <w:szCs w:val="22"/>
        </w:rPr>
        <w:t xml:space="preserve">and </w:t>
      </w:r>
      <w:r w:rsidRPr="00834632">
        <w:rPr>
          <w:sz w:val="22"/>
          <w:szCs w:val="22"/>
        </w:rPr>
        <w:t>all bedroom categories</w:t>
      </w:r>
      <w:r w:rsidR="00834632">
        <w:rPr>
          <w:sz w:val="22"/>
          <w:szCs w:val="22"/>
        </w:rPr>
        <w:t>)</w:t>
      </w:r>
      <w:r w:rsidRPr="00834632">
        <w:rPr>
          <w:sz w:val="22"/>
          <w:szCs w:val="22"/>
        </w:rPr>
        <w:t xml:space="preserve"> in the </w:t>
      </w:r>
      <w:r w:rsidR="002174EE" w:rsidRPr="00834632">
        <w:rPr>
          <w:sz w:val="22"/>
          <w:szCs w:val="22"/>
        </w:rPr>
        <w:t xml:space="preserve">Hunter </w:t>
      </w:r>
      <w:r w:rsidRPr="00834632">
        <w:rPr>
          <w:sz w:val="22"/>
          <w:szCs w:val="22"/>
        </w:rPr>
        <w:t>region for</w:t>
      </w:r>
      <w:r w:rsidR="00834632">
        <w:rPr>
          <w:sz w:val="22"/>
          <w:szCs w:val="22"/>
        </w:rPr>
        <w:t xml:space="preserve"> a long time</w:t>
      </w:r>
      <w:r w:rsidRPr="00834632">
        <w:rPr>
          <w:sz w:val="22"/>
          <w:szCs w:val="22"/>
        </w:rPr>
        <w:t xml:space="preserve">, </w:t>
      </w:r>
      <w:r w:rsidR="00834632">
        <w:rPr>
          <w:sz w:val="22"/>
          <w:szCs w:val="22"/>
        </w:rPr>
        <w:t xml:space="preserve">as the </w:t>
      </w:r>
      <w:r w:rsidR="000B2289" w:rsidRPr="00834632">
        <w:rPr>
          <w:sz w:val="22"/>
          <w:szCs w:val="22"/>
        </w:rPr>
        <w:t>gra</w:t>
      </w:r>
      <w:r w:rsidR="00E9012F" w:rsidRPr="00834632">
        <w:rPr>
          <w:sz w:val="22"/>
          <w:szCs w:val="22"/>
        </w:rPr>
        <w:t>ph below</w:t>
      </w:r>
      <w:r w:rsidR="000B2289" w:rsidRPr="00834632">
        <w:rPr>
          <w:sz w:val="22"/>
          <w:szCs w:val="22"/>
        </w:rPr>
        <w:t xml:space="preserve"> shows</w:t>
      </w:r>
      <w:r w:rsidR="00834632">
        <w:rPr>
          <w:sz w:val="22"/>
          <w:szCs w:val="22"/>
        </w:rPr>
        <w:t>.  It track</w:t>
      </w:r>
      <w:r w:rsidR="00E2077B">
        <w:rPr>
          <w:sz w:val="22"/>
          <w:szCs w:val="22"/>
        </w:rPr>
        <w:t>s</w:t>
      </w:r>
      <w:r w:rsidR="00834632">
        <w:rPr>
          <w:sz w:val="22"/>
          <w:szCs w:val="22"/>
        </w:rPr>
        <w:t xml:space="preserve"> the change </w:t>
      </w:r>
      <w:r w:rsidR="000B2289" w:rsidRPr="00834632">
        <w:rPr>
          <w:sz w:val="22"/>
          <w:szCs w:val="22"/>
        </w:rPr>
        <w:t>in median rent</w:t>
      </w:r>
      <w:r w:rsidR="00834632">
        <w:rPr>
          <w:sz w:val="22"/>
          <w:szCs w:val="22"/>
        </w:rPr>
        <w:t xml:space="preserve"> (for all dwellings)</w:t>
      </w:r>
      <w:r w:rsidR="000B2289" w:rsidRPr="00834632">
        <w:rPr>
          <w:sz w:val="22"/>
          <w:szCs w:val="22"/>
        </w:rPr>
        <w:t xml:space="preserve"> for </w:t>
      </w:r>
      <w:r w:rsidR="002174EE" w:rsidRPr="00834632">
        <w:rPr>
          <w:sz w:val="22"/>
          <w:szCs w:val="22"/>
        </w:rPr>
        <w:t xml:space="preserve">all the Hunter LGAs </w:t>
      </w:r>
      <w:r w:rsidR="000B2289" w:rsidRPr="00834632">
        <w:rPr>
          <w:sz w:val="22"/>
          <w:szCs w:val="22"/>
        </w:rPr>
        <w:t xml:space="preserve">from </w:t>
      </w:r>
      <w:r w:rsidR="002174EE" w:rsidRPr="00834632">
        <w:rPr>
          <w:sz w:val="22"/>
          <w:szCs w:val="22"/>
        </w:rPr>
        <w:t>June 1990</w:t>
      </w:r>
      <w:r w:rsidR="000B2289" w:rsidRPr="00834632">
        <w:rPr>
          <w:sz w:val="22"/>
          <w:szCs w:val="22"/>
        </w:rPr>
        <w:t xml:space="preserve"> to June 20</w:t>
      </w:r>
      <w:r w:rsidR="00834632">
        <w:rPr>
          <w:sz w:val="22"/>
          <w:szCs w:val="22"/>
        </w:rPr>
        <w:t>22</w:t>
      </w:r>
      <w:r w:rsidR="00DD587E">
        <w:rPr>
          <w:sz w:val="22"/>
          <w:szCs w:val="22"/>
        </w:rPr>
        <w:t xml:space="preserve"> (from 2017 for Mid Coast)</w:t>
      </w:r>
      <w:r w:rsidR="00E9012F">
        <w:rPr>
          <w:sz w:val="22"/>
          <w:szCs w:val="22"/>
        </w:rPr>
        <w:t>.</w:t>
      </w:r>
      <w:r w:rsidR="004D1AB0">
        <w:rPr>
          <w:sz w:val="22"/>
          <w:szCs w:val="22"/>
        </w:rPr>
        <w:t xml:space="preserve">  </w:t>
      </w:r>
    </w:p>
    <w:p w14:paraId="589EE32C" w14:textId="77777777" w:rsidR="00E9012F" w:rsidRDefault="004D1AB0" w:rsidP="004D6B96">
      <w:pPr>
        <w:numPr>
          <w:ilvl w:val="0"/>
          <w:numId w:val="2"/>
        </w:numPr>
        <w:spacing w:before="0" w:after="0"/>
        <w:jc w:val="both"/>
        <w:rPr>
          <w:sz w:val="22"/>
          <w:szCs w:val="22"/>
        </w:rPr>
      </w:pPr>
      <w:r>
        <w:rPr>
          <w:sz w:val="22"/>
          <w:szCs w:val="22"/>
        </w:rPr>
        <w:t>The table below gives change in median rent for all dwellings, from 2017 to 2022 for each Hunter LGA.</w:t>
      </w:r>
    </w:p>
    <w:p w14:paraId="627DE321" w14:textId="77777777" w:rsidR="004F6436" w:rsidRDefault="004F6436" w:rsidP="004F6436">
      <w:pPr>
        <w:spacing w:before="0" w:after="0"/>
        <w:ind w:left="360"/>
        <w:jc w:val="both"/>
        <w:rPr>
          <w:sz w:val="22"/>
          <w:szCs w:val="22"/>
        </w:rPr>
      </w:pPr>
    </w:p>
    <w:p w14:paraId="127F4228" w14:textId="77777777" w:rsidR="004D1AB0" w:rsidRDefault="004D1AB0" w:rsidP="004F6436">
      <w:pPr>
        <w:spacing w:before="0" w:after="0"/>
        <w:ind w:left="360"/>
        <w:jc w:val="both"/>
        <w:rPr>
          <w:sz w:val="22"/>
          <w:szCs w:val="22"/>
        </w:rPr>
      </w:pPr>
      <w:r w:rsidRPr="004D1AB0">
        <w:rPr>
          <w:noProof/>
        </w:rPr>
        <w:lastRenderedPageBreak/>
        <w:drawing>
          <wp:inline distT="0" distB="0" distL="0" distR="0" wp14:anchorId="4F2610E8" wp14:editId="0263680E">
            <wp:extent cx="3562350" cy="2291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2350" cy="2291715"/>
                    </a:xfrm>
                    <a:prstGeom prst="rect">
                      <a:avLst/>
                    </a:prstGeom>
                    <a:noFill/>
                    <a:ln>
                      <a:noFill/>
                    </a:ln>
                  </pic:spPr>
                </pic:pic>
              </a:graphicData>
            </a:graphic>
          </wp:inline>
        </w:drawing>
      </w:r>
    </w:p>
    <w:p w14:paraId="3719B1DA" w14:textId="77777777" w:rsidR="00E9012F" w:rsidRDefault="00F5116F" w:rsidP="00E9012F">
      <w:pPr>
        <w:spacing w:before="0" w:after="0"/>
        <w:jc w:val="both"/>
        <w:rPr>
          <w:sz w:val="22"/>
          <w:szCs w:val="22"/>
        </w:rPr>
      </w:pPr>
      <w:r>
        <w:rPr>
          <w:noProof/>
          <w:sz w:val="22"/>
          <w:szCs w:val="22"/>
        </w:rPr>
        <w:drawing>
          <wp:inline distT="0" distB="0" distL="0" distR="0" wp14:anchorId="3A9B9769" wp14:editId="7E0C6512">
            <wp:extent cx="6155055" cy="29214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5022" cy="2926182"/>
                    </a:xfrm>
                    <a:prstGeom prst="rect">
                      <a:avLst/>
                    </a:prstGeom>
                    <a:noFill/>
                  </pic:spPr>
                </pic:pic>
              </a:graphicData>
            </a:graphic>
          </wp:inline>
        </w:drawing>
      </w:r>
    </w:p>
    <w:p w14:paraId="6FC8D04F" w14:textId="77777777" w:rsidR="00E9012F" w:rsidRDefault="00E1656E" w:rsidP="00E9012F">
      <w:pPr>
        <w:spacing w:before="0" w:after="0"/>
        <w:jc w:val="both"/>
        <w:rPr>
          <w:sz w:val="22"/>
          <w:szCs w:val="22"/>
        </w:rPr>
      </w:pPr>
      <w:r w:rsidRPr="00E9012F">
        <w:rPr>
          <w:sz w:val="22"/>
          <w:szCs w:val="22"/>
        </w:rPr>
        <w:t xml:space="preserve"> </w:t>
      </w:r>
    </w:p>
    <w:p w14:paraId="05EC57EB" w14:textId="77777777" w:rsidR="00A136B7" w:rsidRPr="00E1656E" w:rsidRDefault="00A136B7" w:rsidP="000B2289">
      <w:pPr>
        <w:spacing w:before="0" w:after="0"/>
        <w:ind w:left="360"/>
        <w:jc w:val="both"/>
        <w:rPr>
          <w:sz w:val="22"/>
          <w:szCs w:val="22"/>
        </w:rPr>
      </w:pPr>
    </w:p>
    <w:p w14:paraId="56F59787" w14:textId="77777777" w:rsidR="004D1AB0" w:rsidRDefault="004D1AB0" w:rsidP="004D6B96">
      <w:pPr>
        <w:pStyle w:val="ListParagraph"/>
        <w:numPr>
          <w:ilvl w:val="0"/>
          <w:numId w:val="14"/>
        </w:numPr>
        <w:spacing w:before="0" w:after="0"/>
        <w:rPr>
          <w:sz w:val="22"/>
          <w:szCs w:val="22"/>
        </w:rPr>
      </w:pPr>
      <w:r>
        <w:rPr>
          <w:sz w:val="22"/>
          <w:szCs w:val="22"/>
        </w:rPr>
        <w:t>However, there was no even progression in the increase of median rents</w:t>
      </w:r>
      <w:r w:rsidR="00FB7184">
        <w:rPr>
          <w:sz w:val="22"/>
          <w:szCs w:val="22"/>
        </w:rPr>
        <w:t xml:space="preserve"> over the last five years</w:t>
      </w:r>
      <w:r>
        <w:rPr>
          <w:sz w:val="22"/>
          <w:szCs w:val="22"/>
        </w:rPr>
        <w:t>.</w:t>
      </w:r>
    </w:p>
    <w:p w14:paraId="26C308FC" w14:textId="77777777" w:rsidR="004F6436" w:rsidRDefault="004F6436" w:rsidP="004D6B96">
      <w:pPr>
        <w:pStyle w:val="ListParagraph"/>
        <w:numPr>
          <w:ilvl w:val="0"/>
          <w:numId w:val="14"/>
        </w:numPr>
        <w:spacing w:before="0" w:after="0"/>
        <w:rPr>
          <w:sz w:val="22"/>
          <w:szCs w:val="22"/>
        </w:rPr>
      </w:pPr>
      <w:r>
        <w:rPr>
          <w:sz w:val="22"/>
          <w:szCs w:val="22"/>
        </w:rPr>
        <w:t xml:space="preserve">Between 2019 and 2020 when Covid lockdowns were introduced, median rents in the Hunter region local government areas were fairly stable – with no change, slight increases or slight decreases in median rents as the table below demonstrates. </w:t>
      </w:r>
    </w:p>
    <w:p w14:paraId="233C7774" w14:textId="77777777" w:rsidR="004F6436" w:rsidRDefault="004F6436" w:rsidP="004D6B96">
      <w:pPr>
        <w:pStyle w:val="ListParagraph"/>
        <w:numPr>
          <w:ilvl w:val="0"/>
          <w:numId w:val="14"/>
        </w:numPr>
        <w:spacing w:before="0" w:after="0"/>
        <w:rPr>
          <w:sz w:val="22"/>
          <w:szCs w:val="22"/>
        </w:rPr>
      </w:pPr>
      <w:r>
        <w:rPr>
          <w:sz w:val="22"/>
          <w:szCs w:val="22"/>
        </w:rPr>
        <w:t>During that period, the largest percentage drop in median rents occurred in Singleton LGA for three bedroom homes (-6.0%) while the biggest increase was for two bedroom homes in Upper Hunter (8.7%).  As is evident from the table below many LGAs had no increase in median rents over that year.</w:t>
      </w:r>
    </w:p>
    <w:p w14:paraId="61BF50B1" w14:textId="77777777" w:rsidR="00E9012F" w:rsidRDefault="00E9012F" w:rsidP="00E9012F">
      <w:pPr>
        <w:spacing w:before="0" w:after="0"/>
        <w:jc w:val="both"/>
        <w:rPr>
          <w:sz w:val="22"/>
          <w:szCs w:val="22"/>
        </w:rPr>
      </w:pPr>
    </w:p>
    <w:p w14:paraId="03876EF2" w14:textId="77777777" w:rsidR="004F6436" w:rsidRDefault="004F6436" w:rsidP="00E9012F">
      <w:pPr>
        <w:spacing w:before="0" w:after="0"/>
        <w:jc w:val="both"/>
        <w:rPr>
          <w:sz w:val="22"/>
          <w:szCs w:val="22"/>
        </w:rPr>
      </w:pPr>
    </w:p>
    <w:p w14:paraId="7DB7E8D1" w14:textId="77777777" w:rsidR="00843386" w:rsidRDefault="00843386" w:rsidP="00E9012F">
      <w:pPr>
        <w:spacing w:before="0" w:after="0"/>
        <w:jc w:val="both"/>
        <w:rPr>
          <w:sz w:val="22"/>
          <w:szCs w:val="22"/>
        </w:rPr>
      </w:pPr>
      <w:r w:rsidRPr="00843386">
        <w:rPr>
          <w:noProof/>
        </w:rPr>
        <w:lastRenderedPageBreak/>
        <w:drawing>
          <wp:inline distT="0" distB="0" distL="0" distR="0" wp14:anchorId="3C8E50C9" wp14:editId="3ABE0291">
            <wp:extent cx="6155125"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087" cy="1604610"/>
                    </a:xfrm>
                    <a:prstGeom prst="rect">
                      <a:avLst/>
                    </a:prstGeom>
                    <a:noFill/>
                    <a:ln>
                      <a:noFill/>
                    </a:ln>
                  </pic:spPr>
                </pic:pic>
              </a:graphicData>
            </a:graphic>
          </wp:inline>
        </w:drawing>
      </w:r>
    </w:p>
    <w:p w14:paraId="136B8EE4" w14:textId="77777777" w:rsidR="00843386" w:rsidRDefault="00843386" w:rsidP="00E9012F">
      <w:pPr>
        <w:spacing w:before="0" w:after="0"/>
        <w:jc w:val="both"/>
        <w:rPr>
          <w:sz w:val="22"/>
          <w:szCs w:val="22"/>
        </w:rPr>
      </w:pPr>
    </w:p>
    <w:p w14:paraId="20558923" w14:textId="77777777" w:rsidR="00843386" w:rsidRDefault="00843386" w:rsidP="00E9012F">
      <w:pPr>
        <w:spacing w:before="0" w:after="0"/>
        <w:jc w:val="both"/>
        <w:rPr>
          <w:sz w:val="22"/>
          <w:szCs w:val="22"/>
        </w:rPr>
      </w:pPr>
    </w:p>
    <w:p w14:paraId="0C7AC20F" w14:textId="77777777" w:rsidR="00AE5F23" w:rsidRDefault="00AE5F23" w:rsidP="004D6B96">
      <w:pPr>
        <w:pStyle w:val="ListParagraph"/>
        <w:numPr>
          <w:ilvl w:val="0"/>
          <w:numId w:val="14"/>
        </w:numPr>
        <w:spacing w:before="0" w:after="0"/>
        <w:rPr>
          <w:sz w:val="22"/>
          <w:szCs w:val="22"/>
        </w:rPr>
      </w:pPr>
      <w:r w:rsidRPr="00AE5F23">
        <w:rPr>
          <w:sz w:val="22"/>
          <w:szCs w:val="22"/>
        </w:rPr>
        <w:t xml:space="preserve">However, between 2020 and 2022 when Covid restrictions were relaxed, there were strong increases in median rents across the region, as the table below shows.  </w:t>
      </w:r>
    </w:p>
    <w:p w14:paraId="5C7371B8" w14:textId="77777777" w:rsidR="00AE5F23" w:rsidRPr="00AE5F23" w:rsidRDefault="00AE5F23" w:rsidP="004D6B96">
      <w:pPr>
        <w:pStyle w:val="ListParagraph"/>
        <w:numPr>
          <w:ilvl w:val="0"/>
          <w:numId w:val="14"/>
        </w:numPr>
        <w:spacing w:before="0" w:after="0"/>
        <w:rPr>
          <w:sz w:val="22"/>
          <w:szCs w:val="22"/>
        </w:rPr>
      </w:pPr>
      <w:r w:rsidRPr="00AE5F23">
        <w:rPr>
          <w:sz w:val="22"/>
          <w:szCs w:val="22"/>
        </w:rPr>
        <w:t xml:space="preserve">Generally </w:t>
      </w:r>
      <w:r>
        <w:rPr>
          <w:sz w:val="22"/>
          <w:szCs w:val="22"/>
        </w:rPr>
        <w:t>Newcastle</w:t>
      </w:r>
      <w:r w:rsidRPr="00AE5F23">
        <w:rPr>
          <w:sz w:val="22"/>
          <w:szCs w:val="22"/>
        </w:rPr>
        <w:t xml:space="preserve"> ($</w:t>
      </w:r>
      <w:r>
        <w:rPr>
          <w:sz w:val="22"/>
          <w:szCs w:val="22"/>
        </w:rPr>
        <w:t>160</w:t>
      </w:r>
      <w:r w:rsidRPr="00AE5F23">
        <w:rPr>
          <w:sz w:val="22"/>
          <w:szCs w:val="22"/>
        </w:rPr>
        <w:t xml:space="preserve"> for 4 bedroom), </w:t>
      </w:r>
      <w:r>
        <w:rPr>
          <w:sz w:val="22"/>
          <w:szCs w:val="22"/>
        </w:rPr>
        <w:t>Lake Macquarie</w:t>
      </w:r>
      <w:r w:rsidRPr="00AE5F23">
        <w:rPr>
          <w:sz w:val="22"/>
          <w:szCs w:val="22"/>
        </w:rPr>
        <w:t xml:space="preserve"> ($</w:t>
      </w:r>
      <w:r>
        <w:rPr>
          <w:sz w:val="22"/>
          <w:szCs w:val="22"/>
        </w:rPr>
        <w:t>130</w:t>
      </w:r>
      <w:r w:rsidRPr="00AE5F23">
        <w:rPr>
          <w:sz w:val="22"/>
          <w:szCs w:val="22"/>
        </w:rPr>
        <w:t xml:space="preserve"> for 4 bedroom) and </w:t>
      </w:r>
      <w:r>
        <w:rPr>
          <w:sz w:val="22"/>
          <w:szCs w:val="22"/>
        </w:rPr>
        <w:t>Port Stephens</w:t>
      </w:r>
      <w:r w:rsidRPr="00AE5F23">
        <w:rPr>
          <w:sz w:val="22"/>
          <w:szCs w:val="22"/>
        </w:rPr>
        <w:t xml:space="preserve"> ($</w:t>
      </w:r>
      <w:r>
        <w:rPr>
          <w:sz w:val="22"/>
          <w:szCs w:val="22"/>
        </w:rPr>
        <w:t>1</w:t>
      </w:r>
      <w:r w:rsidRPr="00AE5F23">
        <w:rPr>
          <w:sz w:val="22"/>
          <w:szCs w:val="22"/>
        </w:rPr>
        <w:t xml:space="preserve">20 for 4 </w:t>
      </w:r>
      <w:r>
        <w:rPr>
          <w:sz w:val="22"/>
          <w:szCs w:val="22"/>
        </w:rPr>
        <w:t xml:space="preserve">and $120 for 3 </w:t>
      </w:r>
      <w:r w:rsidRPr="00AE5F23">
        <w:rPr>
          <w:sz w:val="22"/>
          <w:szCs w:val="22"/>
        </w:rPr>
        <w:t xml:space="preserve">bedroom) experienced the largest increases in rents in dollar terms.  </w:t>
      </w:r>
      <w:r>
        <w:rPr>
          <w:sz w:val="22"/>
          <w:szCs w:val="22"/>
        </w:rPr>
        <w:t xml:space="preserve">Maitland, Cessnock, Mid Coast and Singleton </w:t>
      </w:r>
      <w:r w:rsidRPr="00AE5F23">
        <w:rPr>
          <w:sz w:val="22"/>
          <w:szCs w:val="22"/>
        </w:rPr>
        <w:t xml:space="preserve">also experienced </w:t>
      </w:r>
      <w:r>
        <w:rPr>
          <w:sz w:val="22"/>
          <w:szCs w:val="22"/>
        </w:rPr>
        <w:t>hefty</w:t>
      </w:r>
      <w:r w:rsidRPr="00AE5F23">
        <w:rPr>
          <w:sz w:val="22"/>
          <w:szCs w:val="22"/>
        </w:rPr>
        <w:t xml:space="preserve"> dollar increases in median rents over this period.</w:t>
      </w:r>
    </w:p>
    <w:p w14:paraId="53DE897E" w14:textId="77777777" w:rsidR="00AE5F23" w:rsidRPr="009D21A3" w:rsidRDefault="00AE5F23" w:rsidP="004D6B96">
      <w:pPr>
        <w:pStyle w:val="ListParagraph"/>
        <w:numPr>
          <w:ilvl w:val="0"/>
          <w:numId w:val="14"/>
        </w:numPr>
        <w:spacing w:before="0" w:after="0"/>
        <w:rPr>
          <w:sz w:val="22"/>
          <w:szCs w:val="22"/>
        </w:rPr>
      </w:pPr>
      <w:r w:rsidRPr="009D21A3">
        <w:rPr>
          <w:sz w:val="22"/>
          <w:szCs w:val="22"/>
        </w:rPr>
        <w:t xml:space="preserve">In percentage terms, increases in median rents were robust across all local government areas and bedroom categories in the Hunter. </w:t>
      </w:r>
    </w:p>
    <w:p w14:paraId="1B4D84F6" w14:textId="77777777" w:rsidR="009D21A3" w:rsidRDefault="00AE5F23" w:rsidP="004D6B96">
      <w:pPr>
        <w:pStyle w:val="ListParagraph"/>
        <w:numPr>
          <w:ilvl w:val="0"/>
          <w:numId w:val="14"/>
        </w:numPr>
        <w:spacing w:before="0" w:after="0"/>
        <w:rPr>
          <w:sz w:val="22"/>
          <w:szCs w:val="22"/>
        </w:rPr>
      </w:pPr>
      <w:r>
        <w:rPr>
          <w:sz w:val="22"/>
          <w:szCs w:val="22"/>
        </w:rPr>
        <w:t>Overall the highest percentage increase in median rents between June 2020 and June 2022 w</w:t>
      </w:r>
      <w:r w:rsidR="009D21A3">
        <w:rPr>
          <w:sz w:val="22"/>
          <w:szCs w:val="22"/>
        </w:rPr>
        <w:t>ere</w:t>
      </w:r>
      <w:r>
        <w:rPr>
          <w:sz w:val="22"/>
          <w:szCs w:val="22"/>
        </w:rPr>
        <w:t xml:space="preserve"> for</w:t>
      </w:r>
      <w:r w:rsidR="009D21A3">
        <w:rPr>
          <w:sz w:val="22"/>
          <w:szCs w:val="22"/>
        </w:rPr>
        <w:t xml:space="preserve"> one bedroom homes in Maitland (36.4%) and Mid Coast (34.6%), followed by two bedroom homes in Port Stephens (31.3%) and three bedroom homes in Dungog (30.4%).</w:t>
      </w:r>
    </w:p>
    <w:p w14:paraId="07F29136" w14:textId="77777777" w:rsidR="00FE7CBB" w:rsidRDefault="009D21A3" w:rsidP="004D6B96">
      <w:pPr>
        <w:pStyle w:val="ListParagraph"/>
        <w:numPr>
          <w:ilvl w:val="0"/>
          <w:numId w:val="14"/>
        </w:numPr>
        <w:spacing w:before="0" w:after="0"/>
        <w:jc w:val="both"/>
        <w:rPr>
          <w:sz w:val="22"/>
          <w:szCs w:val="22"/>
        </w:rPr>
      </w:pPr>
      <w:r w:rsidRPr="00FE7CBB">
        <w:rPr>
          <w:sz w:val="22"/>
          <w:szCs w:val="22"/>
        </w:rPr>
        <w:t xml:space="preserve">At June 2022, </w:t>
      </w:r>
      <w:r w:rsidR="00FE7CBB">
        <w:rPr>
          <w:sz w:val="22"/>
          <w:szCs w:val="22"/>
        </w:rPr>
        <w:t>m</w:t>
      </w:r>
      <w:r w:rsidR="00FE7CBB" w:rsidRPr="00FE7CBB">
        <w:rPr>
          <w:sz w:val="22"/>
          <w:szCs w:val="22"/>
        </w:rPr>
        <w:t xml:space="preserve">edian rents for </w:t>
      </w:r>
      <w:r w:rsidR="00FE7CBB">
        <w:rPr>
          <w:sz w:val="22"/>
          <w:szCs w:val="22"/>
        </w:rPr>
        <w:t xml:space="preserve">one bedroom homes ranged between $270 (Cessnock) and $330 per week (Port Stephens); for two bedroom homes between </w:t>
      </w:r>
      <w:r w:rsidR="00BC6215">
        <w:rPr>
          <w:sz w:val="22"/>
          <w:szCs w:val="22"/>
        </w:rPr>
        <w:t>$320 (Upper Hunter) and $500 per week (Newcastle); for three bedroom homes between $380 (Upper Hunter) and $580 per week (Newcastle); and for four or more bedroom homes from $460 (Muswellbrook) and $690 per week (Newcastle).</w:t>
      </w:r>
    </w:p>
    <w:p w14:paraId="7FB96ECC" w14:textId="77777777" w:rsidR="00843386" w:rsidRPr="00BC6215" w:rsidRDefault="00843386" w:rsidP="00BC6215">
      <w:pPr>
        <w:pStyle w:val="ListParagraph"/>
        <w:spacing w:before="0" w:after="0"/>
        <w:ind w:left="360"/>
        <w:rPr>
          <w:sz w:val="22"/>
          <w:szCs w:val="22"/>
        </w:rPr>
      </w:pPr>
    </w:p>
    <w:p w14:paraId="07DC926E" w14:textId="77777777" w:rsidR="00FA0B9D" w:rsidRDefault="00FA0B9D" w:rsidP="00E9012F">
      <w:pPr>
        <w:spacing w:before="0" w:after="0"/>
        <w:jc w:val="both"/>
        <w:rPr>
          <w:sz w:val="22"/>
          <w:szCs w:val="22"/>
        </w:rPr>
      </w:pPr>
    </w:p>
    <w:p w14:paraId="33EA456D" w14:textId="77777777" w:rsidR="00BF0F0A" w:rsidRDefault="00843386" w:rsidP="00E9012F">
      <w:pPr>
        <w:spacing w:before="0" w:after="0"/>
        <w:jc w:val="both"/>
        <w:rPr>
          <w:sz w:val="22"/>
          <w:szCs w:val="22"/>
        </w:rPr>
      </w:pPr>
      <w:r w:rsidRPr="00843386">
        <w:rPr>
          <w:noProof/>
        </w:rPr>
        <w:drawing>
          <wp:inline distT="0" distB="0" distL="0" distR="0" wp14:anchorId="26753C75" wp14:editId="7A9D2ECA">
            <wp:extent cx="6155125"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3028" cy="1602255"/>
                    </a:xfrm>
                    <a:prstGeom prst="rect">
                      <a:avLst/>
                    </a:prstGeom>
                    <a:noFill/>
                    <a:ln>
                      <a:noFill/>
                    </a:ln>
                  </pic:spPr>
                </pic:pic>
              </a:graphicData>
            </a:graphic>
          </wp:inline>
        </w:drawing>
      </w:r>
    </w:p>
    <w:p w14:paraId="3D763AAB" w14:textId="77777777" w:rsidR="00BF0F0A" w:rsidRDefault="00BF0F0A" w:rsidP="00E9012F">
      <w:pPr>
        <w:spacing w:before="0" w:after="0"/>
        <w:jc w:val="both"/>
        <w:rPr>
          <w:sz w:val="22"/>
          <w:szCs w:val="22"/>
        </w:rPr>
      </w:pPr>
    </w:p>
    <w:p w14:paraId="7BB58450" w14:textId="77777777" w:rsidR="00FA0B9D" w:rsidRDefault="00FA0B9D" w:rsidP="00E9012F">
      <w:pPr>
        <w:spacing w:before="0" w:after="0"/>
        <w:jc w:val="both"/>
        <w:rPr>
          <w:b/>
          <w:sz w:val="22"/>
          <w:szCs w:val="22"/>
        </w:rPr>
      </w:pPr>
    </w:p>
    <w:p w14:paraId="7DA1FB3A" w14:textId="77777777" w:rsidR="00FE7CBB" w:rsidRPr="00FA0B9D" w:rsidRDefault="00FE7CBB" w:rsidP="00E9012F">
      <w:pPr>
        <w:spacing w:before="0" w:after="0"/>
        <w:jc w:val="both"/>
        <w:rPr>
          <w:b/>
          <w:sz w:val="22"/>
          <w:szCs w:val="22"/>
        </w:rPr>
      </w:pPr>
    </w:p>
    <w:p w14:paraId="4A2FDE2D" w14:textId="77777777" w:rsidR="00E1656E" w:rsidRPr="001C58F3" w:rsidRDefault="00E1656E" w:rsidP="00E1656E">
      <w:pPr>
        <w:jc w:val="both"/>
        <w:rPr>
          <w:b/>
          <w:color w:val="008000"/>
          <w:sz w:val="32"/>
        </w:rPr>
      </w:pPr>
      <w:r>
        <w:rPr>
          <w:b/>
          <w:color w:val="008000"/>
          <w:sz w:val="32"/>
        </w:rPr>
        <w:t>Vacancy Rate</w:t>
      </w:r>
    </w:p>
    <w:p w14:paraId="296B32CD" w14:textId="77777777" w:rsidR="00014F49" w:rsidRDefault="00E1656E" w:rsidP="004D6B96">
      <w:pPr>
        <w:numPr>
          <w:ilvl w:val="0"/>
          <w:numId w:val="2"/>
        </w:numPr>
        <w:spacing w:before="0" w:after="0"/>
        <w:jc w:val="both"/>
        <w:rPr>
          <w:sz w:val="22"/>
          <w:szCs w:val="22"/>
        </w:rPr>
      </w:pPr>
      <w:r w:rsidRPr="00E1656E">
        <w:rPr>
          <w:sz w:val="22"/>
          <w:szCs w:val="22"/>
        </w:rPr>
        <w:t>A vacancy rate of 3% is understood to represent a balance between supply and demand. According to REINSW data, vaca</w:t>
      </w:r>
      <w:r w:rsidR="006A0BE2">
        <w:rPr>
          <w:sz w:val="22"/>
          <w:szCs w:val="22"/>
        </w:rPr>
        <w:t xml:space="preserve">ncy rates were below 3% for Newcastle </w:t>
      </w:r>
      <w:r w:rsidR="006A0BE2">
        <w:rPr>
          <w:sz w:val="22"/>
          <w:szCs w:val="22"/>
        </w:rPr>
        <w:lastRenderedPageBreak/>
        <w:t xml:space="preserve">and the rest of the Hunter </w:t>
      </w:r>
      <w:r w:rsidR="002162B2">
        <w:rPr>
          <w:sz w:val="22"/>
          <w:szCs w:val="22"/>
        </w:rPr>
        <w:t xml:space="preserve">for most </w:t>
      </w:r>
      <w:r w:rsidR="006A0BE2">
        <w:rPr>
          <w:sz w:val="22"/>
          <w:szCs w:val="22"/>
        </w:rPr>
        <w:t>of</w:t>
      </w:r>
      <w:r w:rsidR="002162B2">
        <w:rPr>
          <w:sz w:val="22"/>
          <w:szCs w:val="22"/>
        </w:rPr>
        <w:t xml:space="preserve"> the period</w:t>
      </w:r>
      <w:r w:rsidRPr="00E1656E">
        <w:rPr>
          <w:sz w:val="22"/>
          <w:szCs w:val="22"/>
        </w:rPr>
        <w:t xml:space="preserve"> from 200</w:t>
      </w:r>
      <w:r w:rsidR="001741DC">
        <w:rPr>
          <w:sz w:val="22"/>
          <w:szCs w:val="22"/>
        </w:rPr>
        <w:t>6</w:t>
      </w:r>
      <w:r w:rsidRPr="00E1656E">
        <w:rPr>
          <w:sz w:val="22"/>
          <w:szCs w:val="22"/>
        </w:rPr>
        <w:t xml:space="preserve"> through to 20</w:t>
      </w:r>
      <w:r w:rsidR="00F02EA5">
        <w:rPr>
          <w:sz w:val="22"/>
          <w:szCs w:val="22"/>
        </w:rPr>
        <w:t>22</w:t>
      </w:r>
      <w:r w:rsidR="00F70547">
        <w:rPr>
          <w:sz w:val="22"/>
          <w:szCs w:val="22"/>
        </w:rPr>
        <w:t xml:space="preserve"> and consistently since 2015</w:t>
      </w:r>
      <w:r w:rsidRPr="00E1656E">
        <w:rPr>
          <w:sz w:val="22"/>
          <w:szCs w:val="22"/>
        </w:rPr>
        <w:t xml:space="preserve">. </w:t>
      </w:r>
      <w:r w:rsidR="002162B2">
        <w:rPr>
          <w:sz w:val="22"/>
          <w:szCs w:val="22"/>
        </w:rPr>
        <w:t xml:space="preserve">For </w:t>
      </w:r>
      <w:r w:rsidR="006A0BE2">
        <w:rPr>
          <w:sz w:val="22"/>
          <w:szCs w:val="22"/>
        </w:rPr>
        <w:t xml:space="preserve">much </w:t>
      </w:r>
      <w:r w:rsidR="002162B2">
        <w:rPr>
          <w:sz w:val="22"/>
          <w:szCs w:val="22"/>
        </w:rPr>
        <w:t xml:space="preserve">of that time the vacancy rate has been below 2% - indicating a chronic shortage.  </w:t>
      </w:r>
      <w:r w:rsidRPr="00E1656E">
        <w:rPr>
          <w:sz w:val="22"/>
          <w:szCs w:val="22"/>
        </w:rPr>
        <w:t xml:space="preserve"> </w:t>
      </w:r>
    </w:p>
    <w:p w14:paraId="10889CC5" w14:textId="77777777" w:rsidR="00C855FB" w:rsidRDefault="00C855FB" w:rsidP="001D00D9">
      <w:pPr>
        <w:numPr>
          <w:ilvl w:val="0"/>
          <w:numId w:val="2"/>
        </w:numPr>
        <w:spacing w:before="0" w:after="0"/>
        <w:jc w:val="both"/>
        <w:rPr>
          <w:sz w:val="22"/>
          <w:szCs w:val="22"/>
        </w:rPr>
      </w:pPr>
      <w:r w:rsidRPr="00C855FB">
        <w:rPr>
          <w:sz w:val="22"/>
          <w:szCs w:val="22"/>
        </w:rPr>
        <w:t>A</w:t>
      </w:r>
      <w:r w:rsidR="00F131B2" w:rsidRPr="00C855FB">
        <w:rPr>
          <w:sz w:val="22"/>
          <w:szCs w:val="22"/>
        </w:rPr>
        <w:t xml:space="preserve">t </w:t>
      </w:r>
      <w:r w:rsidRPr="00C855FB">
        <w:rPr>
          <w:sz w:val="22"/>
          <w:szCs w:val="22"/>
        </w:rPr>
        <w:t xml:space="preserve">April </w:t>
      </w:r>
      <w:r w:rsidR="00F131B2" w:rsidRPr="00C855FB">
        <w:rPr>
          <w:sz w:val="22"/>
          <w:szCs w:val="22"/>
        </w:rPr>
        <w:t xml:space="preserve">2023 </w:t>
      </w:r>
      <w:r w:rsidRPr="00C855FB">
        <w:rPr>
          <w:sz w:val="22"/>
          <w:szCs w:val="22"/>
        </w:rPr>
        <w:t xml:space="preserve">the vacancy rate in Newcastle </w:t>
      </w:r>
      <w:r w:rsidR="00F131B2" w:rsidRPr="00C855FB">
        <w:rPr>
          <w:sz w:val="22"/>
          <w:szCs w:val="22"/>
        </w:rPr>
        <w:t xml:space="preserve">was </w:t>
      </w:r>
      <w:r w:rsidRPr="00C855FB">
        <w:rPr>
          <w:sz w:val="22"/>
          <w:szCs w:val="22"/>
        </w:rPr>
        <w:t>1.8%</w:t>
      </w:r>
      <w:r w:rsidR="00F131B2" w:rsidRPr="00C855FB">
        <w:rPr>
          <w:sz w:val="22"/>
          <w:szCs w:val="22"/>
        </w:rPr>
        <w:t>.</w:t>
      </w:r>
      <w:r w:rsidRPr="00C855FB">
        <w:rPr>
          <w:sz w:val="22"/>
          <w:szCs w:val="22"/>
        </w:rPr>
        <w:t xml:space="preserve">  </w:t>
      </w:r>
      <w:r w:rsidR="00F131B2" w:rsidRPr="00C855FB">
        <w:rPr>
          <w:sz w:val="22"/>
          <w:szCs w:val="22"/>
        </w:rPr>
        <w:t>I</w:t>
      </w:r>
      <w:r w:rsidR="006A0BE2" w:rsidRPr="00C855FB">
        <w:rPr>
          <w:sz w:val="22"/>
          <w:szCs w:val="22"/>
        </w:rPr>
        <w:t xml:space="preserve">n the rest of the Hunter </w:t>
      </w:r>
      <w:r w:rsidR="00F131B2" w:rsidRPr="00C855FB">
        <w:rPr>
          <w:sz w:val="22"/>
          <w:szCs w:val="22"/>
        </w:rPr>
        <w:t xml:space="preserve">the vacancy rate </w:t>
      </w:r>
      <w:r w:rsidR="006A0BE2" w:rsidRPr="00C855FB">
        <w:rPr>
          <w:sz w:val="22"/>
          <w:szCs w:val="22"/>
        </w:rPr>
        <w:t xml:space="preserve">was </w:t>
      </w:r>
      <w:r>
        <w:rPr>
          <w:sz w:val="22"/>
          <w:szCs w:val="22"/>
        </w:rPr>
        <w:t>2.0</w:t>
      </w:r>
      <w:r w:rsidR="006A0BE2" w:rsidRPr="00C855FB">
        <w:rPr>
          <w:sz w:val="22"/>
          <w:szCs w:val="22"/>
        </w:rPr>
        <w:t>%</w:t>
      </w:r>
      <w:r>
        <w:rPr>
          <w:sz w:val="22"/>
          <w:szCs w:val="22"/>
        </w:rPr>
        <w:t xml:space="preserve"> and on the Mid North Coast was 1.4%</w:t>
      </w:r>
      <w:r w:rsidR="006A0BE2" w:rsidRPr="00C855FB">
        <w:rPr>
          <w:sz w:val="22"/>
          <w:szCs w:val="22"/>
        </w:rPr>
        <w:t xml:space="preserve">.  This compares with </w:t>
      </w:r>
      <w:r>
        <w:rPr>
          <w:sz w:val="22"/>
          <w:szCs w:val="22"/>
        </w:rPr>
        <w:t>1.3% in Sydney and Wollongong, 1.7% on the Central Coast, 2.1% in New England and 1.6% in the Central West of NSW.</w:t>
      </w:r>
    </w:p>
    <w:p w14:paraId="63F2F12E" w14:textId="77777777" w:rsidR="00F70547" w:rsidRDefault="00F70547" w:rsidP="004D6B96">
      <w:pPr>
        <w:numPr>
          <w:ilvl w:val="0"/>
          <w:numId w:val="2"/>
        </w:numPr>
        <w:spacing w:before="0" w:after="0"/>
        <w:jc w:val="both"/>
        <w:rPr>
          <w:sz w:val="22"/>
          <w:szCs w:val="22"/>
        </w:rPr>
      </w:pPr>
      <w:r w:rsidRPr="00FE0E15">
        <w:rPr>
          <w:sz w:val="22"/>
          <w:szCs w:val="22"/>
        </w:rPr>
        <w:t xml:space="preserve">Vacancy rates are tight across almost all of NSW, indicating a </w:t>
      </w:r>
      <w:r w:rsidR="001C288C" w:rsidRPr="00FE0E15">
        <w:rPr>
          <w:sz w:val="22"/>
          <w:szCs w:val="22"/>
        </w:rPr>
        <w:t xml:space="preserve">significant </w:t>
      </w:r>
      <w:r w:rsidRPr="00FE0E15">
        <w:rPr>
          <w:sz w:val="22"/>
          <w:szCs w:val="22"/>
        </w:rPr>
        <w:t>undersupply of rental accommodation.</w:t>
      </w:r>
      <w:r w:rsidR="00AA5867">
        <w:rPr>
          <w:sz w:val="22"/>
          <w:szCs w:val="22"/>
        </w:rPr>
        <w:t xml:space="preserve">  Anecdotally, tenants are struggling to secure accommodation, with strong competition for rental properties, rent bidding, strong rental increases, more tenants paying more than 50% of their income in rent and some potentially facing homelessness.</w:t>
      </w:r>
    </w:p>
    <w:p w14:paraId="7A1B53B7" w14:textId="77777777" w:rsidR="00F131B2" w:rsidRPr="00FE0E15" w:rsidRDefault="00F131B2" w:rsidP="004D6B96">
      <w:pPr>
        <w:numPr>
          <w:ilvl w:val="0"/>
          <w:numId w:val="2"/>
        </w:numPr>
        <w:spacing w:before="0" w:after="0"/>
        <w:jc w:val="both"/>
        <w:rPr>
          <w:sz w:val="22"/>
          <w:szCs w:val="22"/>
        </w:rPr>
      </w:pPr>
      <w:r>
        <w:rPr>
          <w:sz w:val="22"/>
          <w:szCs w:val="22"/>
        </w:rPr>
        <w:t>The two graphs below show the long term vacancy rate for Newcastle, the rest of the Hunter and the Mid North Coast.</w:t>
      </w:r>
    </w:p>
    <w:p w14:paraId="056783CD" w14:textId="77777777" w:rsidR="00E1656E" w:rsidRDefault="00E1656E" w:rsidP="00E1656E">
      <w:pPr>
        <w:spacing w:after="0"/>
        <w:ind w:left="360"/>
        <w:jc w:val="both"/>
        <w:rPr>
          <w:sz w:val="20"/>
          <w:szCs w:val="20"/>
        </w:rPr>
      </w:pPr>
    </w:p>
    <w:p w14:paraId="6F380DBC" w14:textId="77777777" w:rsidR="00E1656E" w:rsidRDefault="00E1656E" w:rsidP="00E1656E">
      <w:pPr>
        <w:jc w:val="both"/>
        <w:rPr>
          <w:b/>
          <w:color w:val="008000"/>
          <w:sz w:val="32"/>
          <w:highlight w:val="yellow"/>
        </w:rPr>
      </w:pPr>
    </w:p>
    <w:p w14:paraId="5473E353" w14:textId="77777777" w:rsidR="00EB47AC" w:rsidRDefault="00C855FB" w:rsidP="00E1656E">
      <w:pPr>
        <w:jc w:val="both"/>
        <w:rPr>
          <w:b/>
          <w:color w:val="008000"/>
          <w:sz w:val="32"/>
        </w:rPr>
      </w:pPr>
      <w:r>
        <w:rPr>
          <w:b/>
          <w:noProof/>
          <w:color w:val="008000"/>
          <w:sz w:val="32"/>
        </w:rPr>
        <w:drawing>
          <wp:inline distT="0" distB="0" distL="0" distR="0" wp14:anchorId="7B18F6DD" wp14:editId="07C36351">
            <wp:extent cx="6047105" cy="319827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348" cy="3208983"/>
                    </a:xfrm>
                    <a:prstGeom prst="rect">
                      <a:avLst/>
                    </a:prstGeom>
                    <a:noFill/>
                  </pic:spPr>
                </pic:pic>
              </a:graphicData>
            </a:graphic>
          </wp:inline>
        </w:drawing>
      </w:r>
    </w:p>
    <w:p w14:paraId="7CE4D512" w14:textId="77777777" w:rsidR="003A10C2" w:rsidRPr="003A10C2" w:rsidRDefault="003A10C2" w:rsidP="00E1656E">
      <w:pPr>
        <w:jc w:val="both"/>
        <w:rPr>
          <w:b/>
          <w:noProof/>
          <w:color w:val="008000"/>
          <w:sz w:val="22"/>
          <w:szCs w:val="22"/>
        </w:rPr>
      </w:pPr>
    </w:p>
    <w:p w14:paraId="71CEFF49" w14:textId="77777777" w:rsidR="003A10C2" w:rsidRPr="003A10C2" w:rsidRDefault="003A10C2" w:rsidP="00E1656E">
      <w:pPr>
        <w:jc w:val="both"/>
        <w:rPr>
          <w:b/>
          <w:color w:val="008000"/>
          <w:sz w:val="22"/>
          <w:szCs w:val="22"/>
        </w:rPr>
      </w:pPr>
      <w:r>
        <w:rPr>
          <w:b/>
          <w:noProof/>
          <w:color w:val="008000"/>
          <w:sz w:val="22"/>
          <w:szCs w:val="22"/>
        </w:rPr>
        <w:lastRenderedPageBreak/>
        <w:drawing>
          <wp:inline distT="0" distB="0" distL="0" distR="0" wp14:anchorId="6DC5C49C" wp14:editId="571478A0">
            <wp:extent cx="6049645" cy="3035084"/>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2072" cy="3046336"/>
                    </a:xfrm>
                    <a:prstGeom prst="rect">
                      <a:avLst/>
                    </a:prstGeom>
                    <a:noFill/>
                  </pic:spPr>
                </pic:pic>
              </a:graphicData>
            </a:graphic>
          </wp:inline>
        </w:drawing>
      </w:r>
    </w:p>
    <w:p w14:paraId="2D247527" w14:textId="77777777" w:rsidR="00F70547" w:rsidRDefault="00F70547" w:rsidP="00E1656E">
      <w:pPr>
        <w:jc w:val="both"/>
        <w:rPr>
          <w:b/>
          <w:color w:val="008000"/>
          <w:sz w:val="32"/>
        </w:rPr>
      </w:pPr>
    </w:p>
    <w:p w14:paraId="6AAF26B7" w14:textId="77777777" w:rsidR="00E1656E" w:rsidRPr="00CD167A" w:rsidRDefault="00E1656E" w:rsidP="00E1656E">
      <w:pPr>
        <w:jc w:val="both"/>
        <w:rPr>
          <w:b/>
          <w:color w:val="008000"/>
          <w:sz w:val="32"/>
        </w:rPr>
      </w:pPr>
      <w:r w:rsidRPr="00CD167A">
        <w:rPr>
          <w:b/>
          <w:color w:val="008000"/>
          <w:sz w:val="32"/>
        </w:rPr>
        <w:t>Affordable Rental</w:t>
      </w:r>
    </w:p>
    <w:p w14:paraId="5C6D3A9B" w14:textId="77777777" w:rsidR="00E1656E" w:rsidRDefault="00E1656E" w:rsidP="004D6B96">
      <w:pPr>
        <w:numPr>
          <w:ilvl w:val="0"/>
          <w:numId w:val="3"/>
        </w:numPr>
        <w:spacing w:before="0" w:after="0"/>
        <w:jc w:val="both"/>
        <w:rPr>
          <w:sz w:val="22"/>
          <w:szCs w:val="22"/>
        </w:rPr>
      </w:pPr>
      <w:r w:rsidRPr="00CA1203">
        <w:rPr>
          <w:sz w:val="22"/>
          <w:szCs w:val="22"/>
        </w:rPr>
        <w:t>The general trend across Sydney and NSW has been for a decline in the proportion of rental stock which is affordable for very low</w:t>
      </w:r>
      <w:r w:rsidRPr="00EC3534">
        <w:rPr>
          <w:sz w:val="22"/>
          <w:szCs w:val="22"/>
        </w:rPr>
        <w:t>, low and moderate income earners.  Although this region is more affordable than Sydney, the reduction in the proportion of rental housing that is affordable has been</w:t>
      </w:r>
      <w:r w:rsidR="00B719F0">
        <w:rPr>
          <w:sz w:val="22"/>
          <w:szCs w:val="22"/>
        </w:rPr>
        <w:t xml:space="preserve"> concerning</w:t>
      </w:r>
      <w:r w:rsidRPr="00EC3534">
        <w:rPr>
          <w:sz w:val="22"/>
          <w:szCs w:val="22"/>
        </w:rPr>
        <w:t xml:space="preserve">. </w:t>
      </w:r>
    </w:p>
    <w:p w14:paraId="656E3D60" w14:textId="77777777" w:rsidR="00247375" w:rsidRDefault="00247375" w:rsidP="004D6B96">
      <w:pPr>
        <w:numPr>
          <w:ilvl w:val="0"/>
          <w:numId w:val="3"/>
        </w:numPr>
        <w:spacing w:before="0" w:after="0"/>
        <w:jc w:val="both"/>
        <w:rPr>
          <w:sz w:val="22"/>
          <w:szCs w:val="22"/>
        </w:rPr>
      </w:pPr>
      <w:r>
        <w:rPr>
          <w:sz w:val="22"/>
          <w:szCs w:val="22"/>
        </w:rPr>
        <w:t>Th</w:t>
      </w:r>
      <w:r w:rsidR="00587EE2">
        <w:rPr>
          <w:sz w:val="22"/>
          <w:szCs w:val="22"/>
        </w:rPr>
        <w:t>e</w:t>
      </w:r>
      <w:r>
        <w:rPr>
          <w:sz w:val="22"/>
          <w:szCs w:val="22"/>
        </w:rPr>
        <w:t xml:space="preserve"> trend </w:t>
      </w:r>
      <w:r w:rsidR="00587EE2">
        <w:rPr>
          <w:sz w:val="22"/>
          <w:szCs w:val="22"/>
        </w:rPr>
        <w:t xml:space="preserve">to decline in affordable rental </w:t>
      </w:r>
      <w:r>
        <w:rPr>
          <w:sz w:val="22"/>
          <w:szCs w:val="22"/>
        </w:rPr>
        <w:t>is also apparent in the Hunter, although along with elsewhere in NSW, there were more complex factors at play between 2019 and 2022.</w:t>
      </w:r>
    </w:p>
    <w:p w14:paraId="51356963" w14:textId="77777777" w:rsidR="00247375" w:rsidRDefault="00247375" w:rsidP="004D6B96">
      <w:pPr>
        <w:numPr>
          <w:ilvl w:val="0"/>
          <w:numId w:val="3"/>
        </w:numPr>
        <w:spacing w:before="0" w:after="0"/>
        <w:jc w:val="both"/>
        <w:rPr>
          <w:sz w:val="22"/>
          <w:szCs w:val="22"/>
        </w:rPr>
      </w:pPr>
      <w:r>
        <w:rPr>
          <w:sz w:val="22"/>
          <w:szCs w:val="22"/>
        </w:rPr>
        <w:t>Across the Rest of NSW, the proportion of affordable rental for very low income households stayed at the 2018 level of 22.0% for 2019, improved slightly to 21.7% in 2020 and again to 21.9% in 2021 then declined in line with the longer term trend to 17.0% in 2022.</w:t>
      </w:r>
    </w:p>
    <w:p w14:paraId="0918C8D2" w14:textId="77777777" w:rsidR="00247375" w:rsidRDefault="00247375" w:rsidP="004D6B96">
      <w:pPr>
        <w:numPr>
          <w:ilvl w:val="0"/>
          <w:numId w:val="3"/>
        </w:numPr>
        <w:spacing w:before="0" w:after="0"/>
        <w:jc w:val="both"/>
        <w:rPr>
          <w:sz w:val="22"/>
          <w:szCs w:val="22"/>
        </w:rPr>
      </w:pPr>
      <w:r>
        <w:rPr>
          <w:sz w:val="22"/>
          <w:szCs w:val="22"/>
        </w:rPr>
        <w:t xml:space="preserve">In the Hunter, this pattern was more varied.  Between 2018 and 2019 rental affordability for very low income households improved in </w:t>
      </w:r>
      <w:r w:rsidR="008D28BE">
        <w:rPr>
          <w:sz w:val="22"/>
          <w:szCs w:val="22"/>
        </w:rPr>
        <w:t xml:space="preserve">Lake Macquarie, Maitland, Mid Coast, Newcastle and Upper Hunter </w:t>
      </w:r>
      <w:r>
        <w:rPr>
          <w:sz w:val="22"/>
          <w:szCs w:val="22"/>
        </w:rPr>
        <w:t>and declined</w:t>
      </w:r>
      <w:r w:rsidR="008D28BE">
        <w:rPr>
          <w:sz w:val="22"/>
          <w:szCs w:val="22"/>
        </w:rPr>
        <w:t xml:space="preserve"> in Cessnock, Muswellbrook, Port Stephens and Singleton</w:t>
      </w:r>
      <w:r>
        <w:rPr>
          <w:sz w:val="22"/>
          <w:szCs w:val="22"/>
        </w:rPr>
        <w:t>.</w:t>
      </w:r>
      <w:r w:rsidR="008D28BE">
        <w:rPr>
          <w:sz w:val="22"/>
          <w:szCs w:val="22"/>
        </w:rPr>
        <w:t xml:space="preserve"> (Note there was insufficient data in Dungog to determine the proportion of affordable rental for very low income households in 2018, 2020 and 2021.  However,</w:t>
      </w:r>
      <w:r w:rsidR="00B72C2D">
        <w:rPr>
          <w:sz w:val="22"/>
          <w:szCs w:val="22"/>
        </w:rPr>
        <w:t xml:space="preserve"> the proportion of affordable rental has clearly declined between 2017 and 2019 and again to 2022</w:t>
      </w:r>
      <w:r w:rsidR="008D28BE">
        <w:rPr>
          <w:sz w:val="22"/>
          <w:szCs w:val="22"/>
        </w:rPr>
        <w:t>.)</w:t>
      </w:r>
    </w:p>
    <w:p w14:paraId="16DCC934" w14:textId="77777777" w:rsidR="00247375" w:rsidRDefault="00247375" w:rsidP="004D6B96">
      <w:pPr>
        <w:numPr>
          <w:ilvl w:val="0"/>
          <w:numId w:val="3"/>
        </w:numPr>
        <w:spacing w:before="0" w:after="0"/>
        <w:jc w:val="both"/>
        <w:rPr>
          <w:sz w:val="22"/>
          <w:szCs w:val="22"/>
        </w:rPr>
      </w:pPr>
      <w:r>
        <w:rPr>
          <w:sz w:val="22"/>
          <w:szCs w:val="22"/>
        </w:rPr>
        <w:t>Between 2019 and 2020 the proportion affordable for rental by very low income households declined in</w:t>
      </w:r>
      <w:r w:rsidR="00B72C2D">
        <w:rPr>
          <w:sz w:val="22"/>
          <w:szCs w:val="22"/>
        </w:rPr>
        <w:t xml:space="preserve"> most Hunter LGAs – excepting Cessnock, Mid Coast and Port Stephens. </w:t>
      </w:r>
    </w:p>
    <w:p w14:paraId="2F1F8A1C" w14:textId="77777777" w:rsidR="00224741" w:rsidRDefault="00247375" w:rsidP="004D6B96">
      <w:pPr>
        <w:numPr>
          <w:ilvl w:val="0"/>
          <w:numId w:val="3"/>
        </w:numPr>
        <w:spacing w:before="0" w:after="0"/>
        <w:jc w:val="both"/>
        <w:rPr>
          <w:sz w:val="22"/>
          <w:szCs w:val="22"/>
        </w:rPr>
      </w:pPr>
      <w:r>
        <w:rPr>
          <w:sz w:val="22"/>
          <w:szCs w:val="22"/>
        </w:rPr>
        <w:t xml:space="preserve">Between 2020 and 2021 rental affordability improved in </w:t>
      </w:r>
      <w:r w:rsidR="00224741">
        <w:rPr>
          <w:sz w:val="22"/>
          <w:szCs w:val="22"/>
        </w:rPr>
        <w:t xml:space="preserve">Lake Macquarie, </w:t>
      </w:r>
      <w:r w:rsidR="00017706">
        <w:rPr>
          <w:sz w:val="22"/>
          <w:szCs w:val="22"/>
        </w:rPr>
        <w:t>Muswellbrook, Newcastle and Singleton and declined everywhere else.</w:t>
      </w:r>
    </w:p>
    <w:p w14:paraId="6802332E" w14:textId="77777777" w:rsidR="00247375" w:rsidRPr="00C343DA" w:rsidRDefault="00247375" w:rsidP="004D6B96">
      <w:pPr>
        <w:numPr>
          <w:ilvl w:val="0"/>
          <w:numId w:val="3"/>
        </w:numPr>
        <w:spacing w:before="0" w:after="0"/>
        <w:jc w:val="both"/>
        <w:rPr>
          <w:sz w:val="22"/>
          <w:szCs w:val="22"/>
        </w:rPr>
      </w:pPr>
      <w:r w:rsidRPr="00C343DA">
        <w:rPr>
          <w:sz w:val="22"/>
          <w:szCs w:val="22"/>
        </w:rPr>
        <w:t xml:space="preserve">Between 2021 and 2022 rental affordability for very low income households declined in every </w:t>
      </w:r>
      <w:r w:rsidR="00017706">
        <w:rPr>
          <w:sz w:val="22"/>
          <w:szCs w:val="22"/>
        </w:rPr>
        <w:t xml:space="preserve">Hunter </w:t>
      </w:r>
      <w:r w:rsidRPr="00C343DA">
        <w:rPr>
          <w:sz w:val="22"/>
          <w:szCs w:val="22"/>
        </w:rPr>
        <w:t>LGA in line with the trend in the Rest of NSW</w:t>
      </w:r>
      <w:r w:rsidR="00017706">
        <w:rPr>
          <w:sz w:val="22"/>
          <w:szCs w:val="22"/>
        </w:rPr>
        <w:t>, with the exception of Cessnock, Muswellbrook and Port Stephens</w:t>
      </w:r>
      <w:r w:rsidRPr="00C343DA">
        <w:rPr>
          <w:sz w:val="22"/>
          <w:szCs w:val="22"/>
        </w:rPr>
        <w:t>.</w:t>
      </w:r>
    </w:p>
    <w:p w14:paraId="377251D7" w14:textId="77777777" w:rsidR="00247375" w:rsidRDefault="00247375" w:rsidP="004D6B96">
      <w:pPr>
        <w:numPr>
          <w:ilvl w:val="0"/>
          <w:numId w:val="3"/>
        </w:numPr>
        <w:spacing w:before="0" w:after="0"/>
        <w:jc w:val="both"/>
        <w:rPr>
          <w:sz w:val="22"/>
          <w:szCs w:val="22"/>
        </w:rPr>
      </w:pPr>
      <w:r>
        <w:rPr>
          <w:sz w:val="22"/>
          <w:szCs w:val="22"/>
        </w:rPr>
        <w:lastRenderedPageBreak/>
        <w:t xml:space="preserve">At June 2022, every </w:t>
      </w:r>
      <w:r w:rsidR="00901478">
        <w:rPr>
          <w:sz w:val="22"/>
          <w:szCs w:val="22"/>
        </w:rPr>
        <w:t xml:space="preserve">Hunter </w:t>
      </w:r>
      <w:r>
        <w:rPr>
          <w:sz w:val="22"/>
          <w:szCs w:val="22"/>
        </w:rPr>
        <w:t>LGA (excepting</w:t>
      </w:r>
      <w:r w:rsidR="00901478">
        <w:rPr>
          <w:sz w:val="22"/>
          <w:szCs w:val="22"/>
        </w:rPr>
        <w:t xml:space="preserve"> Upper Hunter and Muswellbrook</w:t>
      </w:r>
      <w:r>
        <w:rPr>
          <w:sz w:val="22"/>
          <w:szCs w:val="22"/>
        </w:rPr>
        <w:t xml:space="preserve">), had a lower proportion of affordable rental for very low income households than the Rest of NSW average of 17.0%.  </w:t>
      </w:r>
      <w:r w:rsidR="00901478">
        <w:rPr>
          <w:sz w:val="22"/>
          <w:szCs w:val="22"/>
        </w:rPr>
        <w:t xml:space="preserve">Lake Macquarie </w:t>
      </w:r>
      <w:r>
        <w:rPr>
          <w:sz w:val="22"/>
          <w:szCs w:val="22"/>
        </w:rPr>
        <w:t xml:space="preserve">had the lowest </w:t>
      </w:r>
      <w:r w:rsidR="00901478">
        <w:rPr>
          <w:sz w:val="22"/>
          <w:szCs w:val="22"/>
        </w:rPr>
        <w:t>proportion with 6.2</w:t>
      </w:r>
      <w:r>
        <w:rPr>
          <w:sz w:val="22"/>
          <w:szCs w:val="22"/>
        </w:rPr>
        <w:t xml:space="preserve">%, followed by </w:t>
      </w:r>
      <w:r w:rsidR="00901478">
        <w:rPr>
          <w:sz w:val="22"/>
          <w:szCs w:val="22"/>
        </w:rPr>
        <w:t xml:space="preserve">Maitland </w:t>
      </w:r>
      <w:r>
        <w:rPr>
          <w:sz w:val="22"/>
          <w:szCs w:val="22"/>
        </w:rPr>
        <w:t>with 7.</w:t>
      </w:r>
      <w:r w:rsidR="00901478">
        <w:rPr>
          <w:sz w:val="22"/>
          <w:szCs w:val="22"/>
        </w:rPr>
        <w:t>7</w:t>
      </w:r>
      <w:r>
        <w:rPr>
          <w:sz w:val="22"/>
          <w:szCs w:val="22"/>
        </w:rPr>
        <w:t xml:space="preserve">% and </w:t>
      </w:r>
      <w:r w:rsidR="00901478">
        <w:rPr>
          <w:sz w:val="22"/>
          <w:szCs w:val="22"/>
        </w:rPr>
        <w:t xml:space="preserve">Port Stephens </w:t>
      </w:r>
      <w:r>
        <w:rPr>
          <w:sz w:val="22"/>
          <w:szCs w:val="22"/>
        </w:rPr>
        <w:t xml:space="preserve">with </w:t>
      </w:r>
      <w:r w:rsidR="00901478">
        <w:rPr>
          <w:sz w:val="22"/>
          <w:szCs w:val="22"/>
        </w:rPr>
        <w:t>7.</w:t>
      </w:r>
      <w:r>
        <w:rPr>
          <w:sz w:val="22"/>
          <w:szCs w:val="22"/>
        </w:rPr>
        <w:t>8%.</w:t>
      </w:r>
    </w:p>
    <w:p w14:paraId="37BA6EB0" w14:textId="77777777" w:rsidR="00247375" w:rsidRPr="003020E4" w:rsidRDefault="00247375" w:rsidP="004D6B96">
      <w:pPr>
        <w:numPr>
          <w:ilvl w:val="0"/>
          <w:numId w:val="3"/>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very low income</w:t>
      </w:r>
      <w:r w:rsidRPr="003020E4">
        <w:rPr>
          <w:sz w:val="22"/>
          <w:szCs w:val="22"/>
        </w:rPr>
        <w:t xml:space="preserve"> households in the </w:t>
      </w:r>
      <w:r w:rsidR="00F1173C">
        <w:rPr>
          <w:sz w:val="22"/>
          <w:szCs w:val="22"/>
        </w:rPr>
        <w:t xml:space="preserve">Hunter </w:t>
      </w:r>
      <w:r w:rsidR="00AA40D9">
        <w:rPr>
          <w:sz w:val="22"/>
          <w:szCs w:val="22"/>
        </w:rPr>
        <w:t xml:space="preserve">LGAs </w:t>
      </w:r>
      <w:r w:rsidRPr="003020E4">
        <w:rPr>
          <w:sz w:val="22"/>
          <w:szCs w:val="22"/>
        </w:rPr>
        <w:t>and Rest of NSW between 20</w:t>
      </w:r>
      <w:r w:rsidR="004A2F73">
        <w:rPr>
          <w:sz w:val="22"/>
          <w:szCs w:val="22"/>
        </w:rPr>
        <w:t>17</w:t>
      </w:r>
      <w:r w:rsidRPr="003020E4">
        <w:rPr>
          <w:sz w:val="22"/>
          <w:szCs w:val="22"/>
        </w:rPr>
        <w:t xml:space="preserve"> and 2022.  </w:t>
      </w:r>
    </w:p>
    <w:p w14:paraId="063517A7" w14:textId="77777777" w:rsidR="00247375" w:rsidRDefault="00247375" w:rsidP="00247375">
      <w:pPr>
        <w:spacing w:before="0" w:after="0"/>
        <w:jc w:val="both"/>
        <w:rPr>
          <w:sz w:val="22"/>
          <w:szCs w:val="22"/>
        </w:rPr>
      </w:pPr>
    </w:p>
    <w:p w14:paraId="3DD9209C" w14:textId="77777777" w:rsidR="000B6979" w:rsidRDefault="000B6979" w:rsidP="00500AF2">
      <w:pPr>
        <w:spacing w:before="0" w:after="0"/>
        <w:jc w:val="both"/>
        <w:rPr>
          <w:sz w:val="22"/>
          <w:szCs w:val="22"/>
        </w:rPr>
      </w:pPr>
    </w:p>
    <w:p w14:paraId="4DC4CA53" w14:textId="77777777" w:rsidR="000B6979" w:rsidRDefault="000B6979" w:rsidP="00500AF2">
      <w:pPr>
        <w:spacing w:before="0" w:after="0"/>
        <w:jc w:val="both"/>
        <w:rPr>
          <w:sz w:val="22"/>
          <w:szCs w:val="22"/>
        </w:rPr>
      </w:pPr>
      <w:r>
        <w:rPr>
          <w:sz w:val="22"/>
          <w:szCs w:val="22"/>
        </w:rPr>
        <w:t>Proportion affordable rental for very low income households</w:t>
      </w:r>
    </w:p>
    <w:p w14:paraId="1192C133" w14:textId="77777777" w:rsidR="00C62A92" w:rsidRDefault="00AE127C" w:rsidP="00500AF2">
      <w:pPr>
        <w:spacing w:before="0" w:after="0"/>
        <w:jc w:val="both"/>
        <w:rPr>
          <w:sz w:val="22"/>
          <w:szCs w:val="22"/>
        </w:rPr>
      </w:pPr>
      <w:r w:rsidRPr="00AE127C">
        <w:rPr>
          <w:noProof/>
        </w:rPr>
        <w:drawing>
          <wp:inline distT="0" distB="0" distL="0" distR="0" wp14:anchorId="476477F4" wp14:editId="745A9FB5">
            <wp:extent cx="5046980" cy="2672080"/>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6980" cy="2672080"/>
                    </a:xfrm>
                    <a:prstGeom prst="rect">
                      <a:avLst/>
                    </a:prstGeom>
                    <a:noFill/>
                    <a:ln>
                      <a:noFill/>
                    </a:ln>
                  </pic:spPr>
                </pic:pic>
              </a:graphicData>
            </a:graphic>
          </wp:inline>
        </w:drawing>
      </w:r>
    </w:p>
    <w:p w14:paraId="460A7C59" w14:textId="77777777" w:rsidR="00C62A92" w:rsidRDefault="00C62A92" w:rsidP="00500AF2">
      <w:pPr>
        <w:spacing w:before="0" w:after="0"/>
        <w:jc w:val="both"/>
        <w:rPr>
          <w:sz w:val="22"/>
          <w:szCs w:val="22"/>
        </w:rPr>
      </w:pPr>
    </w:p>
    <w:p w14:paraId="1B512C5D" w14:textId="77777777" w:rsidR="00E1656E" w:rsidRPr="00EC3534" w:rsidRDefault="00E1656E" w:rsidP="00E1656E">
      <w:pPr>
        <w:jc w:val="both"/>
        <w:rPr>
          <w:sz w:val="22"/>
          <w:szCs w:val="22"/>
        </w:rPr>
      </w:pPr>
    </w:p>
    <w:p w14:paraId="141FB0F2" w14:textId="77777777" w:rsidR="00E1656E" w:rsidRDefault="00E1656E" w:rsidP="00E1656E">
      <w:pPr>
        <w:jc w:val="both"/>
        <w:rPr>
          <w:sz w:val="20"/>
          <w:szCs w:val="20"/>
        </w:rPr>
      </w:pPr>
    </w:p>
    <w:p w14:paraId="1ED4007E" w14:textId="77777777" w:rsidR="000B6979" w:rsidRDefault="00FB79CD" w:rsidP="00E1656E">
      <w:pPr>
        <w:jc w:val="both"/>
        <w:rPr>
          <w:sz w:val="20"/>
          <w:szCs w:val="20"/>
        </w:rPr>
      </w:pPr>
      <w:r>
        <w:rPr>
          <w:noProof/>
          <w:sz w:val="20"/>
          <w:szCs w:val="20"/>
        </w:rPr>
        <w:lastRenderedPageBreak/>
        <w:drawing>
          <wp:inline distT="0" distB="0" distL="0" distR="0" wp14:anchorId="53ADDB50" wp14:editId="4FC36FF1">
            <wp:extent cx="5871210" cy="3335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1210" cy="3335020"/>
                    </a:xfrm>
                    <a:prstGeom prst="rect">
                      <a:avLst/>
                    </a:prstGeom>
                    <a:noFill/>
                  </pic:spPr>
                </pic:pic>
              </a:graphicData>
            </a:graphic>
          </wp:inline>
        </w:drawing>
      </w:r>
    </w:p>
    <w:p w14:paraId="4623ADAD" w14:textId="77777777" w:rsidR="00500AF2" w:rsidRPr="00240D80" w:rsidRDefault="00E05BD1" w:rsidP="004D6B96">
      <w:pPr>
        <w:numPr>
          <w:ilvl w:val="0"/>
          <w:numId w:val="8"/>
        </w:numPr>
        <w:spacing w:before="0" w:after="0"/>
        <w:jc w:val="both"/>
        <w:rPr>
          <w:sz w:val="22"/>
          <w:szCs w:val="22"/>
        </w:rPr>
      </w:pPr>
      <w:r w:rsidRPr="00240D80">
        <w:rPr>
          <w:sz w:val="22"/>
          <w:szCs w:val="22"/>
        </w:rPr>
        <w:t xml:space="preserve">The proportion of rental affordable for </w:t>
      </w:r>
      <w:r w:rsidRPr="00240D80">
        <w:rPr>
          <w:b/>
          <w:sz w:val="22"/>
          <w:szCs w:val="22"/>
        </w:rPr>
        <w:t>low income</w:t>
      </w:r>
      <w:r w:rsidRPr="00240D80">
        <w:rPr>
          <w:sz w:val="22"/>
          <w:szCs w:val="22"/>
        </w:rPr>
        <w:t xml:space="preserve"> households has also declined in the</w:t>
      </w:r>
      <w:r w:rsidR="00500AF2" w:rsidRPr="00240D80">
        <w:rPr>
          <w:sz w:val="22"/>
          <w:szCs w:val="22"/>
        </w:rPr>
        <w:t xml:space="preserve"> Hunter, with every LGA having a lower proportion of affordable rental </w:t>
      </w:r>
      <w:r w:rsidR="00240D80">
        <w:rPr>
          <w:sz w:val="22"/>
          <w:szCs w:val="22"/>
        </w:rPr>
        <w:t>for low income households in 2022</w:t>
      </w:r>
      <w:r w:rsidR="00500AF2" w:rsidRPr="00240D80">
        <w:rPr>
          <w:sz w:val="22"/>
          <w:szCs w:val="22"/>
        </w:rPr>
        <w:t xml:space="preserve"> than in </w:t>
      </w:r>
      <w:r w:rsidR="00240D80">
        <w:rPr>
          <w:sz w:val="22"/>
          <w:szCs w:val="22"/>
        </w:rPr>
        <w:t>2017</w:t>
      </w:r>
      <w:r w:rsidR="00500AF2" w:rsidRPr="00240D80">
        <w:rPr>
          <w:sz w:val="22"/>
          <w:szCs w:val="22"/>
        </w:rPr>
        <w:t>.</w:t>
      </w:r>
    </w:p>
    <w:p w14:paraId="61CA9FC3" w14:textId="77777777" w:rsidR="00C94031" w:rsidRDefault="00C94031" w:rsidP="004D6B96">
      <w:pPr>
        <w:numPr>
          <w:ilvl w:val="0"/>
          <w:numId w:val="8"/>
        </w:numPr>
        <w:spacing w:before="0" w:after="0"/>
        <w:jc w:val="both"/>
        <w:rPr>
          <w:sz w:val="22"/>
          <w:szCs w:val="22"/>
        </w:rPr>
      </w:pPr>
      <w:r>
        <w:rPr>
          <w:sz w:val="22"/>
          <w:szCs w:val="22"/>
        </w:rPr>
        <w:t>Between 2018 and 2020 the proportion of rental affordable for low income households increased gently from 54.1% to 55.2% and then declined again to 45.4% in June 2022 in the Rest of NSW.</w:t>
      </w:r>
    </w:p>
    <w:p w14:paraId="355FD47B" w14:textId="77777777" w:rsidR="006801B8" w:rsidRDefault="006801B8" w:rsidP="004D6B96">
      <w:pPr>
        <w:numPr>
          <w:ilvl w:val="0"/>
          <w:numId w:val="8"/>
        </w:numPr>
        <w:spacing w:before="0" w:after="0"/>
        <w:jc w:val="both"/>
        <w:rPr>
          <w:sz w:val="22"/>
          <w:szCs w:val="22"/>
        </w:rPr>
      </w:pPr>
      <w:r>
        <w:rPr>
          <w:sz w:val="22"/>
          <w:szCs w:val="22"/>
        </w:rPr>
        <w:t>Again the picture in the Hunter was more varied.</w:t>
      </w:r>
    </w:p>
    <w:p w14:paraId="386747F4" w14:textId="77777777" w:rsidR="006801B8" w:rsidRDefault="006801B8" w:rsidP="004D6B96">
      <w:pPr>
        <w:numPr>
          <w:ilvl w:val="0"/>
          <w:numId w:val="8"/>
        </w:numPr>
        <w:spacing w:before="0" w:after="0"/>
        <w:jc w:val="both"/>
        <w:rPr>
          <w:sz w:val="22"/>
          <w:szCs w:val="22"/>
        </w:rPr>
      </w:pPr>
      <w:r>
        <w:rPr>
          <w:sz w:val="22"/>
          <w:szCs w:val="22"/>
        </w:rPr>
        <w:t xml:space="preserve">Between 2018 and 2019 affordability improved in Lake Macquarie, Maitland, Mid Coast, Newcastle, Port Stephens and Upper Hunter and declined in Cessnock, Muswellbrook and Singleton.  (Note the proportion affordable rental is not available for Dungog for 2018, 2020 and 2021.  However the proportion </w:t>
      </w:r>
      <w:r w:rsidR="00B04FBD">
        <w:rPr>
          <w:sz w:val="22"/>
          <w:szCs w:val="22"/>
        </w:rPr>
        <w:t xml:space="preserve">affordable rental for low income households in Dungog </w:t>
      </w:r>
      <w:r>
        <w:rPr>
          <w:sz w:val="22"/>
          <w:szCs w:val="22"/>
        </w:rPr>
        <w:t>increased between 2017 and 2019 and declined to 2022).</w:t>
      </w:r>
    </w:p>
    <w:p w14:paraId="6D402A3D" w14:textId="77777777" w:rsidR="0010252A" w:rsidRDefault="006801B8" w:rsidP="004D6B96">
      <w:pPr>
        <w:numPr>
          <w:ilvl w:val="0"/>
          <w:numId w:val="8"/>
        </w:numPr>
        <w:spacing w:before="0" w:after="0"/>
        <w:jc w:val="both"/>
        <w:rPr>
          <w:sz w:val="22"/>
          <w:szCs w:val="22"/>
        </w:rPr>
      </w:pPr>
      <w:r>
        <w:rPr>
          <w:sz w:val="22"/>
          <w:szCs w:val="22"/>
        </w:rPr>
        <w:t xml:space="preserve">Between 2019 and 2020 </w:t>
      </w:r>
      <w:r w:rsidR="0010252A">
        <w:rPr>
          <w:sz w:val="22"/>
          <w:szCs w:val="22"/>
        </w:rPr>
        <w:t>the proportion affordable for rental for low income households increased in Cessnock, Lake Macquarie, Muswellbrook and Port Stephens and declined everywhere else.</w:t>
      </w:r>
    </w:p>
    <w:p w14:paraId="51A154C1" w14:textId="77777777" w:rsidR="0010252A" w:rsidRDefault="0010252A" w:rsidP="004D6B96">
      <w:pPr>
        <w:numPr>
          <w:ilvl w:val="0"/>
          <w:numId w:val="8"/>
        </w:numPr>
        <w:spacing w:before="0" w:after="0"/>
        <w:jc w:val="both"/>
        <w:rPr>
          <w:sz w:val="22"/>
          <w:szCs w:val="22"/>
        </w:rPr>
      </w:pPr>
      <w:r>
        <w:rPr>
          <w:sz w:val="22"/>
          <w:szCs w:val="22"/>
        </w:rPr>
        <w:t xml:space="preserve">Between 2020 and 2021 </w:t>
      </w:r>
      <w:r w:rsidR="008233C4">
        <w:rPr>
          <w:sz w:val="22"/>
          <w:szCs w:val="22"/>
        </w:rPr>
        <w:t xml:space="preserve">affordable rental for low income households </w:t>
      </w:r>
      <w:r>
        <w:rPr>
          <w:sz w:val="22"/>
          <w:szCs w:val="22"/>
        </w:rPr>
        <w:t>declined in every Hunter LGA excepting Singleton and Upper Hunter.</w:t>
      </w:r>
    </w:p>
    <w:p w14:paraId="353D4DD9" w14:textId="77777777" w:rsidR="0010252A" w:rsidRDefault="0010252A" w:rsidP="004D6B96">
      <w:pPr>
        <w:numPr>
          <w:ilvl w:val="0"/>
          <w:numId w:val="8"/>
        </w:numPr>
        <w:spacing w:before="0" w:after="0"/>
        <w:jc w:val="both"/>
        <w:rPr>
          <w:sz w:val="22"/>
          <w:szCs w:val="22"/>
        </w:rPr>
      </w:pPr>
      <w:r>
        <w:rPr>
          <w:sz w:val="22"/>
          <w:szCs w:val="22"/>
        </w:rPr>
        <w:t>Then between 2021 and 2022 affordability declined in every Hunter LGA with the exception of Muswellbrook.</w:t>
      </w:r>
    </w:p>
    <w:p w14:paraId="0BE06097" w14:textId="77777777" w:rsidR="00C94031" w:rsidRDefault="0010252A" w:rsidP="004D6B96">
      <w:pPr>
        <w:numPr>
          <w:ilvl w:val="0"/>
          <w:numId w:val="8"/>
        </w:numPr>
        <w:spacing w:before="0" w:after="0"/>
        <w:jc w:val="both"/>
        <w:rPr>
          <w:sz w:val="22"/>
          <w:szCs w:val="22"/>
        </w:rPr>
      </w:pPr>
      <w:r>
        <w:rPr>
          <w:sz w:val="22"/>
          <w:szCs w:val="22"/>
        </w:rPr>
        <w:t xml:space="preserve">At June 2022 four Hunter LGAs have a lower proportion of affordable private rental for low income households than the average of 45.4% for the Rest of NSW </w:t>
      </w:r>
      <w:r w:rsidR="00240D80">
        <w:rPr>
          <w:sz w:val="22"/>
          <w:szCs w:val="22"/>
        </w:rPr>
        <w:t>–</w:t>
      </w:r>
      <w:r>
        <w:rPr>
          <w:sz w:val="22"/>
          <w:szCs w:val="22"/>
        </w:rPr>
        <w:t xml:space="preserve"> </w:t>
      </w:r>
      <w:r w:rsidR="00240D80">
        <w:rPr>
          <w:sz w:val="22"/>
          <w:szCs w:val="22"/>
        </w:rPr>
        <w:t>Lake Macquarie, Maitland, Port Stephens and Newcastle</w:t>
      </w:r>
      <w:r w:rsidR="00C94031">
        <w:rPr>
          <w:sz w:val="22"/>
          <w:szCs w:val="22"/>
        </w:rPr>
        <w:t>.</w:t>
      </w:r>
    </w:p>
    <w:p w14:paraId="39E643C4" w14:textId="77777777" w:rsidR="00E1656E" w:rsidRPr="00240D80" w:rsidRDefault="00C94031" w:rsidP="004D6B96">
      <w:pPr>
        <w:numPr>
          <w:ilvl w:val="0"/>
          <w:numId w:val="8"/>
        </w:numPr>
        <w:spacing w:before="0" w:after="0"/>
        <w:jc w:val="both"/>
        <w:rPr>
          <w:sz w:val="22"/>
          <w:szCs w:val="22"/>
        </w:rPr>
      </w:pPr>
      <w:r w:rsidRPr="003020E4">
        <w:rPr>
          <w:sz w:val="22"/>
          <w:szCs w:val="22"/>
        </w:rPr>
        <w:t xml:space="preserve">The table and graph below show the change in the proportion of private rental accommodation affordable to </w:t>
      </w:r>
      <w:r w:rsidRPr="003020E4">
        <w:rPr>
          <w:b/>
          <w:sz w:val="22"/>
          <w:szCs w:val="22"/>
        </w:rPr>
        <w:t>low income</w:t>
      </w:r>
      <w:r w:rsidRPr="003020E4">
        <w:rPr>
          <w:sz w:val="22"/>
          <w:szCs w:val="22"/>
        </w:rPr>
        <w:t xml:space="preserve"> households in the </w:t>
      </w:r>
      <w:r w:rsidR="00240D80">
        <w:rPr>
          <w:sz w:val="22"/>
          <w:szCs w:val="22"/>
        </w:rPr>
        <w:t xml:space="preserve">Hunter </w:t>
      </w:r>
      <w:r w:rsidRPr="003020E4">
        <w:rPr>
          <w:sz w:val="22"/>
          <w:szCs w:val="22"/>
        </w:rPr>
        <w:t>and Rest of NSW between 2001 and 2022</w:t>
      </w:r>
      <w:r>
        <w:rPr>
          <w:sz w:val="22"/>
          <w:szCs w:val="22"/>
        </w:rPr>
        <w:t>.</w:t>
      </w:r>
    </w:p>
    <w:p w14:paraId="51C297E9" w14:textId="77777777" w:rsidR="00E1656E" w:rsidRPr="000B6979" w:rsidRDefault="000B6979" w:rsidP="00E1656E">
      <w:pPr>
        <w:jc w:val="both"/>
        <w:rPr>
          <w:sz w:val="22"/>
          <w:szCs w:val="22"/>
        </w:rPr>
      </w:pPr>
      <w:r>
        <w:rPr>
          <w:sz w:val="22"/>
          <w:szCs w:val="22"/>
        </w:rPr>
        <w:t>Proportion affordable rental for low income households</w:t>
      </w:r>
    </w:p>
    <w:p w14:paraId="314A9A17" w14:textId="77777777" w:rsidR="000B6979" w:rsidRDefault="00AE127C" w:rsidP="00E1656E">
      <w:pPr>
        <w:jc w:val="both"/>
        <w:rPr>
          <w:sz w:val="20"/>
          <w:szCs w:val="20"/>
        </w:rPr>
      </w:pPr>
      <w:r w:rsidRPr="00AE127C">
        <w:rPr>
          <w:noProof/>
        </w:rPr>
        <w:lastRenderedPageBreak/>
        <w:drawing>
          <wp:inline distT="0" distB="0" distL="0" distR="0" wp14:anchorId="17AA4F43" wp14:editId="7BAF8797">
            <wp:extent cx="5046980" cy="267208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6980" cy="2672080"/>
                    </a:xfrm>
                    <a:prstGeom prst="rect">
                      <a:avLst/>
                    </a:prstGeom>
                    <a:noFill/>
                    <a:ln>
                      <a:noFill/>
                    </a:ln>
                  </pic:spPr>
                </pic:pic>
              </a:graphicData>
            </a:graphic>
          </wp:inline>
        </w:drawing>
      </w:r>
    </w:p>
    <w:p w14:paraId="16063308" w14:textId="77777777" w:rsidR="000B6979" w:rsidRPr="00BC0C95" w:rsidRDefault="000B6979" w:rsidP="00E1656E">
      <w:pPr>
        <w:jc w:val="both"/>
        <w:rPr>
          <w:sz w:val="20"/>
          <w:szCs w:val="20"/>
        </w:rPr>
      </w:pPr>
    </w:p>
    <w:p w14:paraId="06E0891C" w14:textId="77777777" w:rsidR="007F5F8C" w:rsidRDefault="009F4634" w:rsidP="007F5F8C">
      <w:pPr>
        <w:spacing w:before="0" w:after="0"/>
        <w:rPr>
          <w:sz w:val="22"/>
          <w:szCs w:val="22"/>
        </w:rPr>
      </w:pPr>
      <w:r>
        <w:rPr>
          <w:noProof/>
          <w:sz w:val="22"/>
          <w:szCs w:val="22"/>
        </w:rPr>
        <w:drawing>
          <wp:inline distT="0" distB="0" distL="0" distR="0" wp14:anchorId="17F1AC49" wp14:editId="2D6B2CE2">
            <wp:extent cx="5858510" cy="3426460"/>
            <wp:effectExtent l="0" t="0" r="889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8510" cy="3426460"/>
                    </a:xfrm>
                    <a:prstGeom prst="rect">
                      <a:avLst/>
                    </a:prstGeom>
                    <a:noFill/>
                  </pic:spPr>
                </pic:pic>
              </a:graphicData>
            </a:graphic>
          </wp:inline>
        </w:drawing>
      </w:r>
    </w:p>
    <w:p w14:paraId="6EF8AA6C" w14:textId="77777777" w:rsidR="000B6979" w:rsidRDefault="000B6979" w:rsidP="007F5F8C">
      <w:pPr>
        <w:spacing w:before="0" w:after="0"/>
        <w:rPr>
          <w:sz w:val="22"/>
          <w:szCs w:val="22"/>
        </w:rPr>
      </w:pPr>
    </w:p>
    <w:p w14:paraId="54AED45D" w14:textId="77777777" w:rsidR="00221385" w:rsidRDefault="00D827F7" w:rsidP="004D6B96">
      <w:pPr>
        <w:numPr>
          <w:ilvl w:val="0"/>
          <w:numId w:val="8"/>
        </w:numPr>
        <w:spacing w:before="0" w:after="0"/>
        <w:rPr>
          <w:sz w:val="22"/>
          <w:szCs w:val="22"/>
        </w:rPr>
      </w:pPr>
      <w:r w:rsidRPr="00C937A5">
        <w:rPr>
          <w:sz w:val="22"/>
          <w:szCs w:val="22"/>
        </w:rPr>
        <w:t>There is evidence that short term holiday rentals such as Airbnb are impacting the supply of housing, including long term rental and affordable housing in cities and coastal communities</w:t>
      </w:r>
      <w:r w:rsidR="00221385">
        <w:rPr>
          <w:sz w:val="22"/>
          <w:szCs w:val="22"/>
        </w:rPr>
        <w:t>.</w:t>
      </w:r>
    </w:p>
    <w:p w14:paraId="5215D99D" w14:textId="77777777" w:rsidR="00D827F7" w:rsidRPr="00221385" w:rsidRDefault="00D827F7" w:rsidP="004D6B96">
      <w:pPr>
        <w:numPr>
          <w:ilvl w:val="0"/>
          <w:numId w:val="8"/>
        </w:numPr>
        <w:spacing w:before="0" w:after="0"/>
        <w:rPr>
          <w:sz w:val="22"/>
          <w:szCs w:val="22"/>
        </w:rPr>
      </w:pPr>
      <w:r w:rsidRPr="00221385">
        <w:rPr>
          <w:sz w:val="22"/>
          <w:szCs w:val="22"/>
        </w:rPr>
        <w:t xml:space="preserve">The University of Sydney Urban Housing Lab undertook a study and prepared a report for the Australian Coastal Councils on short term holiday rentals: “Planning responses to online short term holiday rental platforms” -  Research Project for Australian Coastal Councils Association Inc. September 2018  by Nicole Gurran, Yuting Zhang, Pranita Shrestha, Catherine Gilbert.  </w:t>
      </w:r>
    </w:p>
    <w:p w14:paraId="2B4A301B" w14:textId="77777777" w:rsidR="00D827F7" w:rsidRDefault="00D827F7" w:rsidP="004D6B96">
      <w:pPr>
        <w:numPr>
          <w:ilvl w:val="0"/>
          <w:numId w:val="8"/>
        </w:numPr>
        <w:spacing w:before="0" w:after="0"/>
        <w:rPr>
          <w:sz w:val="22"/>
          <w:szCs w:val="22"/>
        </w:rPr>
      </w:pPr>
      <w:r w:rsidRPr="00B83551">
        <w:rPr>
          <w:sz w:val="22"/>
          <w:szCs w:val="22"/>
        </w:rPr>
        <w:lastRenderedPageBreak/>
        <w:t>The study found (p7) “that there has been a rapid growth in online holiday rental listings overall and in coastal Australia in particular. Since Airbnb was launched in Australia, the number of listings has risen to over 130,000 properties, amounting to around 0.2% of the housing stock nationwide. If holiday rentals are considered to be part of the rental housing stock (a smaller proportion of Australian homes), then Airbnb listings for whole homes represent around 3.5% of rental accommodation. In coastal communities, the rate is much higher. Across the communities in this study, between 0.3% (Moreton Bay) and 17.6 % (Byron) of the total housing stock is listed on Airbnb.”</w:t>
      </w:r>
    </w:p>
    <w:p w14:paraId="58244E01" w14:textId="77777777" w:rsidR="00D827F7" w:rsidRDefault="00D827F7" w:rsidP="004D6B96">
      <w:pPr>
        <w:numPr>
          <w:ilvl w:val="0"/>
          <w:numId w:val="8"/>
        </w:numPr>
        <w:spacing w:before="0" w:after="0"/>
        <w:rPr>
          <w:sz w:val="22"/>
          <w:szCs w:val="22"/>
        </w:rPr>
      </w:pPr>
      <w:r>
        <w:rPr>
          <w:sz w:val="22"/>
          <w:szCs w:val="22"/>
        </w:rPr>
        <w:t>Further (p7) “the majority of these listings are whole houses, and more than half appear to be frequently available holiday lets rather than permanent residences.  Considered as part of the rental housing stock, these whole houses, frequently available, amount to 19.7% of the rental housing stock in Kiama…</w:t>
      </w:r>
      <w:r w:rsidR="00B719F0">
        <w:rPr>
          <w:sz w:val="22"/>
          <w:szCs w:val="22"/>
        </w:rPr>
        <w:t>and 48.3% of the rental housing stock in Byron</w:t>
      </w:r>
      <w:r>
        <w:rPr>
          <w:sz w:val="22"/>
          <w:szCs w:val="22"/>
        </w:rPr>
        <w:t>”</w:t>
      </w:r>
      <w:r w:rsidR="00E10C64">
        <w:rPr>
          <w:sz w:val="22"/>
          <w:szCs w:val="22"/>
        </w:rPr>
        <w:t xml:space="preserve">.  </w:t>
      </w:r>
      <w:r w:rsidR="006E1EBC">
        <w:rPr>
          <w:sz w:val="22"/>
          <w:szCs w:val="22"/>
        </w:rPr>
        <w:t xml:space="preserve">The report states that (p23) </w:t>
      </w:r>
      <w:r w:rsidR="006260A4">
        <w:rPr>
          <w:sz w:val="22"/>
          <w:szCs w:val="22"/>
        </w:rPr>
        <w:t>“Airbnb listings…is equivalent to around a fifth of the rental housing stock in Kiama</w:t>
      </w:r>
      <w:r w:rsidR="006E1EBC">
        <w:rPr>
          <w:sz w:val="22"/>
          <w:szCs w:val="22"/>
        </w:rPr>
        <w:t xml:space="preserve"> (and)</w:t>
      </w:r>
      <w:r w:rsidR="006260A4">
        <w:rPr>
          <w:sz w:val="22"/>
          <w:szCs w:val="22"/>
        </w:rPr>
        <w:t xml:space="preserve"> Shoalhaven…”</w:t>
      </w:r>
    </w:p>
    <w:p w14:paraId="03D1602C" w14:textId="77777777" w:rsidR="00A73BB0" w:rsidRPr="00A73BB0" w:rsidRDefault="002016EE" w:rsidP="004D6B96">
      <w:pPr>
        <w:numPr>
          <w:ilvl w:val="0"/>
          <w:numId w:val="8"/>
        </w:numPr>
        <w:spacing w:before="0" w:after="0"/>
        <w:rPr>
          <w:sz w:val="22"/>
          <w:szCs w:val="22"/>
        </w:rPr>
      </w:pPr>
      <w:r>
        <w:rPr>
          <w:sz w:val="22"/>
          <w:szCs w:val="22"/>
        </w:rPr>
        <w:t xml:space="preserve">None of the coastal communities in the </w:t>
      </w:r>
      <w:r w:rsidR="007F5F8C">
        <w:rPr>
          <w:sz w:val="22"/>
          <w:szCs w:val="22"/>
        </w:rPr>
        <w:t xml:space="preserve">Hunter </w:t>
      </w:r>
      <w:r w:rsidR="00B719F0" w:rsidRPr="00A73BB0">
        <w:rPr>
          <w:sz w:val="22"/>
          <w:szCs w:val="22"/>
        </w:rPr>
        <w:t>w</w:t>
      </w:r>
      <w:r>
        <w:rPr>
          <w:sz w:val="22"/>
          <w:szCs w:val="22"/>
        </w:rPr>
        <w:t>ere included in t</w:t>
      </w:r>
      <w:r w:rsidR="00B719F0" w:rsidRPr="00A73BB0">
        <w:rPr>
          <w:sz w:val="22"/>
          <w:szCs w:val="22"/>
        </w:rPr>
        <w:t>he 10 case study communities examined in the study.  Nevertheless,</w:t>
      </w:r>
      <w:r w:rsidR="007F5F8C">
        <w:rPr>
          <w:sz w:val="22"/>
          <w:szCs w:val="22"/>
        </w:rPr>
        <w:t xml:space="preserve"> the study identified impact to communities within a 3 hour </w:t>
      </w:r>
      <w:r>
        <w:rPr>
          <w:sz w:val="22"/>
          <w:szCs w:val="22"/>
        </w:rPr>
        <w:t xml:space="preserve">radius </w:t>
      </w:r>
      <w:r w:rsidR="007F5F8C">
        <w:rPr>
          <w:sz w:val="22"/>
          <w:szCs w:val="22"/>
        </w:rPr>
        <w:t xml:space="preserve">of </w:t>
      </w:r>
      <w:r>
        <w:rPr>
          <w:sz w:val="22"/>
          <w:szCs w:val="22"/>
        </w:rPr>
        <w:t xml:space="preserve">capital </w:t>
      </w:r>
      <w:r w:rsidR="007F5F8C">
        <w:rPr>
          <w:sz w:val="22"/>
          <w:szCs w:val="22"/>
        </w:rPr>
        <w:t>cities.  Much of the Hunter falls into this category.</w:t>
      </w:r>
      <w:r>
        <w:rPr>
          <w:sz w:val="22"/>
          <w:szCs w:val="22"/>
        </w:rPr>
        <w:t xml:space="preserve"> This report, in discussing the implications for local housing markets, noted that (p36) “Many, but not all, of the case study communities report that lower income residents and local workers face barriers in securing affordable rental housin</w:t>
      </w:r>
      <w:r w:rsidR="00F40F47">
        <w:rPr>
          <w:sz w:val="22"/>
          <w:szCs w:val="22"/>
        </w:rPr>
        <w:t>g or entering home ownership”</w:t>
      </w:r>
      <w:r>
        <w:rPr>
          <w:sz w:val="22"/>
          <w:szCs w:val="22"/>
        </w:rPr>
        <w:t>.</w:t>
      </w:r>
    </w:p>
    <w:p w14:paraId="1263295D" w14:textId="77777777" w:rsidR="001D0C88" w:rsidRDefault="00B719F0" w:rsidP="004D6B96">
      <w:pPr>
        <w:numPr>
          <w:ilvl w:val="0"/>
          <w:numId w:val="8"/>
        </w:numPr>
        <w:spacing w:before="0" w:after="0"/>
        <w:rPr>
          <w:sz w:val="22"/>
          <w:szCs w:val="22"/>
        </w:rPr>
      </w:pPr>
      <w:r>
        <w:rPr>
          <w:sz w:val="22"/>
          <w:szCs w:val="22"/>
        </w:rPr>
        <w:t>T</w:t>
      </w:r>
      <w:r w:rsidR="001D0C88">
        <w:rPr>
          <w:sz w:val="22"/>
          <w:szCs w:val="22"/>
        </w:rPr>
        <w:t>he rapid growth in on line listings and loss of affordable rental accommodation are likely connected, with tourist accommodation outcompeting longer term renting for locals, particularly in</w:t>
      </w:r>
      <w:r>
        <w:rPr>
          <w:sz w:val="22"/>
          <w:szCs w:val="22"/>
        </w:rPr>
        <w:t xml:space="preserve"> </w:t>
      </w:r>
      <w:r w:rsidR="002016EE">
        <w:rPr>
          <w:sz w:val="22"/>
          <w:szCs w:val="22"/>
        </w:rPr>
        <w:t xml:space="preserve">Hunter </w:t>
      </w:r>
      <w:r>
        <w:rPr>
          <w:sz w:val="22"/>
          <w:szCs w:val="22"/>
        </w:rPr>
        <w:t>coastal communities</w:t>
      </w:r>
      <w:r w:rsidR="001D0C88">
        <w:rPr>
          <w:sz w:val="22"/>
          <w:szCs w:val="22"/>
        </w:rPr>
        <w:t xml:space="preserve">.  </w:t>
      </w:r>
      <w:r w:rsidR="002016EE">
        <w:rPr>
          <w:sz w:val="22"/>
          <w:szCs w:val="22"/>
        </w:rPr>
        <w:t xml:space="preserve">This may go some way to explaining the decline in low income </w:t>
      </w:r>
      <w:r w:rsidR="002016EE" w:rsidRPr="006A2239">
        <w:rPr>
          <w:b/>
          <w:sz w:val="22"/>
          <w:szCs w:val="22"/>
        </w:rPr>
        <w:t>rental</w:t>
      </w:r>
      <w:r w:rsidR="002016EE">
        <w:rPr>
          <w:sz w:val="22"/>
          <w:szCs w:val="22"/>
        </w:rPr>
        <w:t xml:space="preserve"> households in Mid Coast</w:t>
      </w:r>
      <w:r w:rsidR="007B5E96">
        <w:rPr>
          <w:sz w:val="22"/>
          <w:szCs w:val="22"/>
        </w:rPr>
        <w:t xml:space="preserve"> and Port Stephens.</w:t>
      </w:r>
    </w:p>
    <w:p w14:paraId="0136A32A" w14:textId="77777777" w:rsidR="00D22FE3" w:rsidRDefault="00D22FE3" w:rsidP="004D6B96">
      <w:pPr>
        <w:numPr>
          <w:ilvl w:val="0"/>
          <w:numId w:val="11"/>
        </w:numPr>
        <w:tabs>
          <w:tab w:val="clear" w:pos="720"/>
          <w:tab w:val="num" w:pos="360"/>
        </w:tabs>
        <w:spacing w:before="0" w:after="0"/>
        <w:ind w:left="360"/>
        <w:rPr>
          <w:sz w:val="22"/>
          <w:szCs w:val="22"/>
        </w:rPr>
      </w:pPr>
      <w:r>
        <w:rPr>
          <w:sz w:val="22"/>
          <w:szCs w:val="22"/>
        </w:rPr>
        <w:t xml:space="preserve">In addition, </w:t>
      </w:r>
      <w:r w:rsidR="0054492D">
        <w:rPr>
          <w:sz w:val="22"/>
          <w:szCs w:val="22"/>
        </w:rPr>
        <w:t>t</w:t>
      </w:r>
      <w:r w:rsidRPr="00450EB9">
        <w:rPr>
          <w:sz w:val="22"/>
          <w:szCs w:val="22"/>
        </w:rPr>
        <w:t xml:space="preserve">he report for the Australian Coastal Councils on short term holiday rental platforms </w:t>
      </w:r>
      <w:r>
        <w:rPr>
          <w:sz w:val="22"/>
          <w:szCs w:val="22"/>
        </w:rPr>
        <w:t xml:space="preserve">states </w:t>
      </w:r>
      <w:r w:rsidRPr="00450EB9">
        <w:rPr>
          <w:sz w:val="22"/>
          <w:szCs w:val="22"/>
        </w:rPr>
        <w:t>(p33) “the income from online holiday rentals is comparable to up to 170% of the income derived</w:t>
      </w:r>
      <w:r>
        <w:rPr>
          <w:sz w:val="22"/>
          <w:szCs w:val="22"/>
        </w:rPr>
        <w:t xml:space="preserve"> from existing permanent rental properties, making them an attractive proposition for investors.  Indeed, interviewees on the NSW South Coast… advised that they had observed the rise of a new type of investor who purchased homes solely for the purpose of operating a holiday rental.”</w:t>
      </w:r>
      <w:r>
        <w:rPr>
          <w:rStyle w:val="FootnoteReference"/>
          <w:sz w:val="22"/>
          <w:szCs w:val="22"/>
        </w:rPr>
        <w:footnoteReference w:id="1"/>
      </w:r>
    </w:p>
    <w:p w14:paraId="281E3596" w14:textId="77777777" w:rsidR="00D22FE3" w:rsidRDefault="00D22FE3" w:rsidP="004D6B96">
      <w:pPr>
        <w:numPr>
          <w:ilvl w:val="0"/>
          <w:numId w:val="8"/>
        </w:numPr>
        <w:spacing w:before="0" w:after="0"/>
        <w:rPr>
          <w:sz w:val="22"/>
          <w:szCs w:val="22"/>
        </w:rPr>
      </w:pPr>
      <w:r>
        <w:rPr>
          <w:sz w:val="22"/>
          <w:szCs w:val="22"/>
        </w:rPr>
        <w:t>This may help explain some of the decline in low income households in Lake Macquarie, Newcastle and Port Stephens.</w:t>
      </w:r>
    </w:p>
    <w:p w14:paraId="29FA7F3B" w14:textId="77777777" w:rsidR="006C618A" w:rsidRDefault="0067391E" w:rsidP="004D6B96">
      <w:pPr>
        <w:numPr>
          <w:ilvl w:val="0"/>
          <w:numId w:val="8"/>
        </w:numPr>
        <w:spacing w:before="0" w:after="0"/>
        <w:rPr>
          <w:sz w:val="22"/>
          <w:szCs w:val="22"/>
        </w:rPr>
      </w:pPr>
      <w:r>
        <w:rPr>
          <w:sz w:val="22"/>
          <w:szCs w:val="22"/>
        </w:rPr>
        <w:t xml:space="preserve">More recently, research by SQM showed that between July 2019 and July 2020 </w:t>
      </w:r>
      <w:r w:rsidR="006C618A">
        <w:rPr>
          <w:sz w:val="22"/>
          <w:szCs w:val="22"/>
        </w:rPr>
        <w:t xml:space="preserve">Muswellbrook </w:t>
      </w:r>
      <w:r>
        <w:rPr>
          <w:sz w:val="22"/>
          <w:szCs w:val="22"/>
        </w:rPr>
        <w:t>Council had an increase of 1</w:t>
      </w:r>
      <w:r w:rsidR="006C618A">
        <w:rPr>
          <w:sz w:val="22"/>
          <w:szCs w:val="22"/>
        </w:rPr>
        <w:t>91</w:t>
      </w:r>
      <w:r>
        <w:rPr>
          <w:sz w:val="22"/>
          <w:szCs w:val="22"/>
        </w:rPr>
        <w:t xml:space="preserve">% in Airbnb listings, </w:t>
      </w:r>
      <w:r w:rsidR="006C618A">
        <w:rPr>
          <w:sz w:val="22"/>
          <w:szCs w:val="22"/>
        </w:rPr>
        <w:t xml:space="preserve">Cessnock by 13%, Maitland by 8%, </w:t>
      </w:r>
      <w:r w:rsidR="004045EF">
        <w:rPr>
          <w:sz w:val="22"/>
          <w:szCs w:val="22"/>
        </w:rPr>
        <w:t xml:space="preserve">Greater Taree by 5%, Dungog by 1%, while </w:t>
      </w:r>
      <w:r w:rsidR="00621715">
        <w:rPr>
          <w:sz w:val="22"/>
          <w:szCs w:val="22"/>
        </w:rPr>
        <w:t>Lake Macquarie experienced no change and Great Lakes declined by -3%, Singleton by -5%, Gloucester by -18%, Newcastle and Upper Hunter by -32%</w:t>
      </w:r>
      <w:r w:rsidR="00221385">
        <w:rPr>
          <w:sz w:val="22"/>
          <w:szCs w:val="22"/>
        </w:rPr>
        <w:t xml:space="preserve"> and Port Stephens by -42%</w:t>
      </w:r>
    </w:p>
    <w:p w14:paraId="09EFC135" w14:textId="77777777" w:rsidR="0067391E" w:rsidRPr="000176E5" w:rsidRDefault="0067391E" w:rsidP="004D6B96">
      <w:pPr>
        <w:numPr>
          <w:ilvl w:val="0"/>
          <w:numId w:val="8"/>
        </w:numPr>
        <w:spacing w:before="0" w:after="0"/>
        <w:rPr>
          <w:sz w:val="22"/>
          <w:szCs w:val="22"/>
        </w:rPr>
      </w:pPr>
      <w:r>
        <w:rPr>
          <w:sz w:val="22"/>
          <w:szCs w:val="22"/>
        </w:rPr>
        <w:t>Since 2020 it is likely that Airbnb listings have picked up again in the</w:t>
      </w:r>
      <w:r w:rsidR="00221385">
        <w:rPr>
          <w:sz w:val="22"/>
          <w:szCs w:val="22"/>
        </w:rPr>
        <w:t xml:space="preserve"> Hunter</w:t>
      </w:r>
      <w:r>
        <w:rPr>
          <w:sz w:val="22"/>
          <w:szCs w:val="22"/>
        </w:rPr>
        <w:t>.</w:t>
      </w:r>
    </w:p>
    <w:p w14:paraId="4DD3C404" w14:textId="77777777" w:rsidR="00F40F47" w:rsidRDefault="00F40F47" w:rsidP="00E1656E">
      <w:pPr>
        <w:jc w:val="both"/>
        <w:rPr>
          <w:b/>
          <w:color w:val="008000"/>
          <w:sz w:val="32"/>
        </w:rPr>
      </w:pPr>
    </w:p>
    <w:p w14:paraId="5013A0A9" w14:textId="77777777" w:rsidR="00E1656E" w:rsidRPr="00560A23" w:rsidRDefault="00E1656E" w:rsidP="00E1656E">
      <w:pPr>
        <w:jc w:val="both"/>
        <w:rPr>
          <w:b/>
          <w:color w:val="008000"/>
          <w:sz w:val="32"/>
        </w:rPr>
      </w:pPr>
      <w:r w:rsidRPr="00BC0C95">
        <w:rPr>
          <w:b/>
          <w:color w:val="008000"/>
          <w:sz w:val="32"/>
        </w:rPr>
        <w:t>Re</w:t>
      </w:r>
      <w:r w:rsidRPr="00560A23">
        <w:rPr>
          <w:b/>
          <w:color w:val="008000"/>
          <w:sz w:val="32"/>
        </w:rPr>
        <w:t>ntal Stress</w:t>
      </w:r>
    </w:p>
    <w:p w14:paraId="1C075567" w14:textId="77777777" w:rsidR="00033DB5" w:rsidRPr="00E44A18" w:rsidRDefault="00033DB5" w:rsidP="004D6B96">
      <w:pPr>
        <w:numPr>
          <w:ilvl w:val="0"/>
          <w:numId w:val="4"/>
        </w:numPr>
        <w:spacing w:before="0" w:after="0"/>
        <w:rPr>
          <w:sz w:val="22"/>
          <w:szCs w:val="22"/>
        </w:rPr>
      </w:pPr>
      <w:r w:rsidRPr="00E44A18">
        <w:rPr>
          <w:sz w:val="22"/>
          <w:szCs w:val="22"/>
        </w:rPr>
        <w:t>Households</w:t>
      </w:r>
      <w:r w:rsidR="006B289D">
        <w:rPr>
          <w:sz w:val="22"/>
          <w:szCs w:val="22"/>
        </w:rPr>
        <w:t xml:space="preserve"> are</w:t>
      </w:r>
      <w:r w:rsidRPr="00E44A18">
        <w:rPr>
          <w:sz w:val="22"/>
          <w:szCs w:val="22"/>
        </w:rPr>
        <w:t xml:space="preserve"> regarded as being in rental stress </w:t>
      </w:r>
      <w:r w:rsidR="00663010">
        <w:rPr>
          <w:sz w:val="22"/>
          <w:szCs w:val="22"/>
        </w:rPr>
        <w:t xml:space="preserve">when </w:t>
      </w:r>
      <w:r w:rsidRPr="00E44A18">
        <w:rPr>
          <w:sz w:val="22"/>
          <w:szCs w:val="22"/>
        </w:rPr>
        <w:t xml:space="preserve">renting in the private rental market and paying more than 30% of their income in rent.  Lower income households in rental stress will struggle to pay for other essential household costs, such as medical or educational expenses, food, transport and energy costs. </w:t>
      </w:r>
    </w:p>
    <w:p w14:paraId="60641A5F" w14:textId="77777777" w:rsidR="00033DB5" w:rsidRDefault="00033DB5" w:rsidP="004D6B96">
      <w:pPr>
        <w:numPr>
          <w:ilvl w:val="0"/>
          <w:numId w:val="4"/>
        </w:numPr>
        <w:spacing w:before="0" w:after="0"/>
        <w:jc w:val="both"/>
        <w:rPr>
          <w:sz w:val="22"/>
          <w:szCs w:val="22"/>
        </w:rPr>
      </w:pPr>
      <w:r w:rsidRPr="00C94A4D">
        <w:rPr>
          <w:sz w:val="22"/>
          <w:szCs w:val="22"/>
        </w:rPr>
        <w:t>At June 2021 the proportion of very low income households in rental stress in the Rest of NSW (that is, excluding Sydney) was 91.7%.  Within</w:t>
      </w:r>
      <w:r>
        <w:rPr>
          <w:sz w:val="22"/>
          <w:szCs w:val="22"/>
        </w:rPr>
        <w:t xml:space="preserve"> the Hunter, the average was </w:t>
      </w:r>
      <w:r w:rsidR="00DD71B7">
        <w:rPr>
          <w:sz w:val="22"/>
          <w:szCs w:val="22"/>
        </w:rPr>
        <w:t xml:space="preserve">higher than the Rest of NSW at </w:t>
      </w:r>
      <w:r>
        <w:rPr>
          <w:sz w:val="22"/>
          <w:szCs w:val="22"/>
        </w:rPr>
        <w:t>9</w:t>
      </w:r>
      <w:r w:rsidR="00DD71B7">
        <w:rPr>
          <w:sz w:val="22"/>
          <w:szCs w:val="22"/>
        </w:rPr>
        <w:t>4.9</w:t>
      </w:r>
      <w:r>
        <w:rPr>
          <w:sz w:val="22"/>
          <w:szCs w:val="22"/>
        </w:rPr>
        <w:t>%, with the proportion varying from 96.6% in Maitland to 84.7% in Upper Hunter.</w:t>
      </w:r>
    </w:p>
    <w:p w14:paraId="7B549310" w14:textId="77777777" w:rsidR="00033DB5" w:rsidRDefault="00033DB5" w:rsidP="004D6B96">
      <w:pPr>
        <w:numPr>
          <w:ilvl w:val="0"/>
          <w:numId w:val="4"/>
        </w:numPr>
        <w:spacing w:before="0" w:after="0"/>
        <w:jc w:val="both"/>
        <w:rPr>
          <w:sz w:val="22"/>
          <w:szCs w:val="22"/>
        </w:rPr>
      </w:pPr>
      <w:r>
        <w:rPr>
          <w:sz w:val="22"/>
          <w:szCs w:val="22"/>
        </w:rPr>
        <w:t xml:space="preserve">Six of the Hunter LGAs had a higher proportion of very low income households in rental stress than the average for the Rest of NSW – in addition to Maitland, Newcastle (96.4%), Lake Macquarie (95.9%), Port Stephens (95.2%), </w:t>
      </w:r>
      <w:r w:rsidR="00DD71B7">
        <w:rPr>
          <w:sz w:val="22"/>
          <w:szCs w:val="22"/>
        </w:rPr>
        <w:t>Cessnock (94.5%) and Mid Coast (93.0%)</w:t>
      </w:r>
      <w:r>
        <w:rPr>
          <w:sz w:val="22"/>
          <w:szCs w:val="22"/>
        </w:rPr>
        <w:t>.</w:t>
      </w:r>
    </w:p>
    <w:p w14:paraId="769AC3DF" w14:textId="77777777" w:rsidR="00033DB5" w:rsidRDefault="00033DB5" w:rsidP="004D6B96">
      <w:pPr>
        <w:numPr>
          <w:ilvl w:val="0"/>
          <w:numId w:val="4"/>
        </w:numPr>
        <w:spacing w:before="0" w:after="0"/>
        <w:jc w:val="both"/>
        <w:rPr>
          <w:sz w:val="22"/>
          <w:szCs w:val="22"/>
        </w:rPr>
      </w:pPr>
      <w:r>
        <w:rPr>
          <w:sz w:val="22"/>
          <w:szCs w:val="22"/>
        </w:rPr>
        <w:t xml:space="preserve">For the Rest of NSW at 2021 the proportion of low income households in rental was 68.3%, with </w:t>
      </w:r>
      <w:r w:rsidR="007D5464">
        <w:rPr>
          <w:sz w:val="22"/>
          <w:szCs w:val="22"/>
        </w:rPr>
        <w:t>the Hunter average significantly</w:t>
      </w:r>
      <w:r>
        <w:rPr>
          <w:sz w:val="22"/>
          <w:szCs w:val="22"/>
        </w:rPr>
        <w:t xml:space="preserve"> higher on </w:t>
      </w:r>
      <w:r w:rsidR="007D5464">
        <w:rPr>
          <w:sz w:val="22"/>
          <w:szCs w:val="22"/>
        </w:rPr>
        <w:t>73.6</w:t>
      </w:r>
      <w:r>
        <w:rPr>
          <w:sz w:val="22"/>
          <w:szCs w:val="22"/>
        </w:rPr>
        <w:t xml:space="preserve">%.  Across the region the proportion of low income households in stress ranged from </w:t>
      </w:r>
      <w:r w:rsidR="007D5464">
        <w:rPr>
          <w:sz w:val="22"/>
          <w:szCs w:val="22"/>
        </w:rPr>
        <w:t>79.7</w:t>
      </w:r>
      <w:r>
        <w:rPr>
          <w:sz w:val="22"/>
          <w:szCs w:val="22"/>
        </w:rPr>
        <w:t xml:space="preserve">% in </w:t>
      </w:r>
      <w:r w:rsidR="007D5464">
        <w:rPr>
          <w:sz w:val="22"/>
          <w:szCs w:val="22"/>
        </w:rPr>
        <w:t xml:space="preserve">Newcastle </w:t>
      </w:r>
      <w:r>
        <w:rPr>
          <w:sz w:val="22"/>
          <w:szCs w:val="22"/>
        </w:rPr>
        <w:t xml:space="preserve">to </w:t>
      </w:r>
      <w:r w:rsidR="007D5464">
        <w:rPr>
          <w:sz w:val="22"/>
          <w:szCs w:val="22"/>
        </w:rPr>
        <w:t>48.4</w:t>
      </w:r>
      <w:r>
        <w:rPr>
          <w:sz w:val="22"/>
          <w:szCs w:val="22"/>
        </w:rPr>
        <w:t>% in Upper</w:t>
      </w:r>
      <w:r w:rsidR="007D5464">
        <w:rPr>
          <w:sz w:val="22"/>
          <w:szCs w:val="22"/>
        </w:rPr>
        <w:t xml:space="preserve"> Hunter</w:t>
      </w:r>
      <w:r>
        <w:rPr>
          <w:sz w:val="22"/>
          <w:szCs w:val="22"/>
        </w:rPr>
        <w:t xml:space="preserve">.  </w:t>
      </w:r>
    </w:p>
    <w:p w14:paraId="2A5933FB" w14:textId="77777777" w:rsidR="00033DB5" w:rsidRDefault="00033DB5" w:rsidP="004D6B96">
      <w:pPr>
        <w:numPr>
          <w:ilvl w:val="0"/>
          <w:numId w:val="4"/>
        </w:numPr>
        <w:spacing w:before="0" w:after="0"/>
        <w:jc w:val="both"/>
        <w:rPr>
          <w:sz w:val="22"/>
          <w:szCs w:val="22"/>
        </w:rPr>
      </w:pPr>
      <w:r>
        <w:rPr>
          <w:sz w:val="22"/>
          <w:szCs w:val="22"/>
        </w:rPr>
        <w:t>F</w:t>
      </w:r>
      <w:r w:rsidR="00222E33">
        <w:rPr>
          <w:sz w:val="22"/>
          <w:szCs w:val="22"/>
        </w:rPr>
        <w:t>ive Hunter</w:t>
      </w:r>
      <w:r>
        <w:rPr>
          <w:sz w:val="22"/>
          <w:szCs w:val="22"/>
        </w:rPr>
        <w:t xml:space="preserve"> LGAs had a higher proportion of low income households in rental stress than the Rest of NSW – in addition to </w:t>
      </w:r>
      <w:r w:rsidR="00222E33">
        <w:rPr>
          <w:sz w:val="22"/>
          <w:szCs w:val="22"/>
        </w:rPr>
        <w:t>Newcastle</w:t>
      </w:r>
      <w:r>
        <w:rPr>
          <w:sz w:val="22"/>
          <w:szCs w:val="22"/>
        </w:rPr>
        <w:t>,</w:t>
      </w:r>
      <w:r w:rsidR="00222E33">
        <w:rPr>
          <w:sz w:val="22"/>
          <w:szCs w:val="22"/>
        </w:rPr>
        <w:t xml:space="preserve"> </w:t>
      </w:r>
      <w:r w:rsidR="00D921F9">
        <w:rPr>
          <w:sz w:val="22"/>
          <w:szCs w:val="22"/>
        </w:rPr>
        <w:t>Lake Macquarie (77.9%), Port Stephens (</w:t>
      </w:r>
      <w:r w:rsidR="000C5DC7">
        <w:rPr>
          <w:sz w:val="22"/>
          <w:szCs w:val="22"/>
        </w:rPr>
        <w:t>76.2%), Maitland (70.9%) and Mid Coast with (69.5%)</w:t>
      </w:r>
      <w:r>
        <w:rPr>
          <w:sz w:val="22"/>
          <w:szCs w:val="22"/>
        </w:rPr>
        <w:t>.</w:t>
      </w:r>
    </w:p>
    <w:p w14:paraId="3B2BE24D" w14:textId="77777777" w:rsidR="00C521C8" w:rsidRDefault="00033DB5" w:rsidP="004D6B96">
      <w:pPr>
        <w:numPr>
          <w:ilvl w:val="0"/>
          <w:numId w:val="4"/>
        </w:numPr>
        <w:spacing w:before="0" w:after="0"/>
        <w:jc w:val="both"/>
        <w:rPr>
          <w:sz w:val="22"/>
          <w:szCs w:val="22"/>
        </w:rPr>
      </w:pPr>
      <w:r>
        <w:rPr>
          <w:sz w:val="22"/>
          <w:szCs w:val="22"/>
        </w:rPr>
        <w:t xml:space="preserve">However, while the </w:t>
      </w:r>
      <w:r w:rsidRPr="00C82D07">
        <w:rPr>
          <w:b/>
          <w:sz w:val="22"/>
          <w:szCs w:val="22"/>
        </w:rPr>
        <w:t>proportion</w:t>
      </w:r>
      <w:r>
        <w:rPr>
          <w:sz w:val="22"/>
          <w:szCs w:val="22"/>
        </w:rPr>
        <w:t xml:space="preserve"> of very low and low income households</w:t>
      </w:r>
      <w:r w:rsidR="00C82D07">
        <w:rPr>
          <w:sz w:val="22"/>
          <w:szCs w:val="22"/>
        </w:rPr>
        <w:t xml:space="preserve"> </w:t>
      </w:r>
      <w:r>
        <w:rPr>
          <w:sz w:val="22"/>
          <w:szCs w:val="22"/>
        </w:rPr>
        <w:t xml:space="preserve">in stress increased in </w:t>
      </w:r>
      <w:r w:rsidR="000C5DC7">
        <w:rPr>
          <w:sz w:val="22"/>
          <w:szCs w:val="22"/>
        </w:rPr>
        <w:t xml:space="preserve">most Hunter LGAs </w:t>
      </w:r>
      <w:r>
        <w:rPr>
          <w:sz w:val="22"/>
          <w:szCs w:val="22"/>
        </w:rPr>
        <w:t>between the 2016 and 2021 Census (</w:t>
      </w:r>
      <w:r w:rsidR="000C5DC7">
        <w:rPr>
          <w:sz w:val="22"/>
          <w:szCs w:val="22"/>
        </w:rPr>
        <w:t>Dungog</w:t>
      </w:r>
      <w:r w:rsidR="0002012D">
        <w:rPr>
          <w:sz w:val="22"/>
          <w:szCs w:val="22"/>
        </w:rPr>
        <w:t xml:space="preserve"> and Singleton</w:t>
      </w:r>
      <w:r w:rsidR="000C5DC7">
        <w:rPr>
          <w:sz w:val="22"/>
          <w:szCs w:val="22"/>
        </w:rPr>
        <w:t xml:space="preserve"> </w:t>
      </w:r>
      <w:r w:rsidR="0002012D">
        <w:rPr>
          <w:sz w:val="22"/>
          <w:szCs w:val="22"/>
        </w:rPr>
        <w:t>increased for low income households but declined marginally for very low</w:t>
      </w:r>
      <w:r>
        <w:rPr>
          <w:sz w:val="22"/>
          <w:szCs w:val="22"/>
        </w:rPr>
        <w:t>), the actual numbers in stress</w:t>
      </w:r>
      <w:r w:rsidR="00C521C8">
        <w:rPr>
          <w:sz w:val="22"/>
          <w:szCs w:val="22"/>
        </w:rPr>
        <w:t xml:space="preserve"> tell a different story.  </w:t>
      </w:r>
    </w:p>
    <w:p w14:paraId="1D956DB4" w14:textId="77777777" w:rsidR="00031868" w:rsidRDefault="00C521C8" w:rsidP="00325A50">
      <w:pPr>
        <w:numPr>
          <w:ilvl w:val="0"/>
          <w:numId w:val="4"/>
        </w:numPr>
        <w:spacing w:before="0" w:after="0"/>
        <w:jc w:val="both"/>
        <w:rPr>
          <w:sz w:val="22"/>
          <w:szCs w:val="22"/>
        </w:rPr>
      </w:pPr>
      <w:r w:rsidRPr="00031868">
        <w:rPr>
          <w:sz w:val="22"/>
          <w:szCs w:val="22"/>
        </w:rPr>
        <w:t xml:space="preserve">The </w:t>
      </w:r>
      <w:r w:rsidRPr="00031868">
        <w:rPr>
          <w:b/>
          <w:sz w:val="22"/>
          <w:szCs w:val="22"/>
        </w:rPr>
        <w:t>number</w:t>
      </w:r>
      <w:r w:rsidRPr="00031868">
        <w:rPr>
          <w:sz w:val="22"/>
          <w:szCs w:val="22"/>
        </w:rPr>
        <w:t xml:space="preserve"> of very low income households in stress</w:t>
      </w:r>
      <w:r w:rsidR="00033DB5" w:rsidRPr="00031868">
        <w:rPr>
          <w:sz w:val="22"/>
          <w:szCs w:val="22"/>
        </w:rPr>
        <w:t xml:space="preserve"> have declined in every </w:t>
      </w:r>
      <w:r w:rsidRPr="00031868">
        <w:rPr>
          <w:sz w:val="22"/>
          <w:szCs w:val="22"/>
        </w:rPr>
        <w:t xml:space="preserve">Hunter </w:t>
      </w:r>
      <w:r w:rsidR="00033DB5" w:rsidRPr="00031868">
        <w:rPr>
          <w:sz w:val="22"/>
          <w:szCs w:val="22"/>
        </w:rPr>
        <w:t>LGA</w:t>
      </w:r>
      <w:r w:rsidRPr="00031868">
        <w:rPr>
          <w:sz w:val="22"/>
          <w:szCs w:val="22"/>
        </w:rPr>
        <w:t xml:space="preserve"> over this time frame.</w:t>
      </w:r>
      <w:r w:rsidR="00033DB5" w:rsidRPr="00031868">
        <w:rPr>
          <w:sz w:val="22"/>
          <w:szCs w:val="22"/>
        </w:rPr>
        <w:t xml:space="preserve">  </w:t>
      </w:r>
    </w:p>
    <w:p w14:paraId="089E620B" w14:textId="77777777" w:rsidR="00C521C8" w:rsidRPr="00031868" w:rsidRDefault="00C521C8" w:rsidP="00325A50">
      <w:pPr>
        <w:numPr>
          <w:ilvl w:val="0"/>
          <w:numId w:val="4"/>
        </w:numPr>
        <w:spacing w:before="0" w:after="0"/>
        <w:jc w:val="both"/>
        <w:rPr>
          <w:sz w:val="22"/>
          <w:szCs w:val="22"/>
        </w:rPr>
      </w:pPr>
      <w:r w:rsidRPr="00031868">
        <w:rPr>
          <w:sz w:val="22"/>
          <w:szCs w:val="22"/>
        </w:rPr>
        <w:t xml:space="preserve">The picture for low income households in rental stress is the exact opposite, with numbers increasing between 2016 and 2021 in every Hunter LGA. </w:t>
      </w:r>
    </w:p>
    <w:p w14:paraId="3F23F6B2" w14:textId="77777777" w:rsidR="00033DB5" w:rsidRDefault="00033DB5" w:rsidP="004D6B96">
      <w:pPr>
        <w:pStyle w:val="ListParagraph"/>
        <w:numPr>
          <w:ilvl w:val="0"/>
          <w:numId w:val="4"/>
        </w:numPr>
        <w:spacing w:before="0" w:after="0"/>
        <w:rPr>
          <w:sz w:val="22"/>
          <w:szCs w:val="22"/>
        </w:rPr>
      </w:pPr>
      <w:r>
        <w:rPr>
          <w:sz w:val="22"/>
          <w:szCs w:val="22"/>
        </w:rPr>
        <w:t xml:space="preserve">Below is a graph of the proportion of very low and low income households in rental stress in each </w:t>
      </w:r>
      <w:r w:rsidR="009A4FC0">
        <w:rPr>
          <w:sz w:val="22"/>
          <w:szCs w:val="22"/>
        </w:rPr>
        <w:t xml:space="preserve">Hunter </w:t>
      </w:r>
      <w:r>
        <w:rPr>
          <w:sz w:val="22"/>
          <w:szCs w:val="22"/>
        </w:rPr>
        <w:t>LGA at 2021 and a table showing the change in the proportion of very low and low income households in stress between 2016 and 2021.</w:t>
      </w:r>
    </w:p>
    <w:p w14:paraId="61BBD511" w14:textId="77777777" w:rsidR="00C521C8" w:rsidRDefault="00C521C8" w:rsidP="00C521C8">
      <w:pPr>
        <w:pStyle w:val="ListParagraph"/>
        <w:spacing w:before="0" w:after="0"/>
        <w:ind w:left="360"/>
        <w:rPr>
          <w:sz w:val="22"/>
          <w:szCs w:val="22"/>
        </w:rPr>
      </w:pPr>
    </w:p>
    <w:p w14:paraId="7DE9D52C" w14:textId="77777777" w:rsidR="00E1656E" w:rsidRDefault="009D6F2B" w:rsidP="00E1656E">
      <w:pPr>
        <w:jc w:val="both"/>
        <w:rPr>
          <w:sz w:val="20"/>
          <w:szCs w:val="20"/>
          <w:highlight w:val="yellow"/>
        </w:rPr>
      </w:pPr>
      <w:r w:rsidRPr="007A5595">
        <w:rPr>
          <w:noProof/>
          <w:sz w:val="20"/>
          <w:szCs w:val="20"/>
        </w:rPr>
        <w:lastRenderedPageBreak/>
        <w:drawing>
          <wp:inline distT="0" distB="0" distL="0" distR="0" wp14:anchorId="03A5B512" wp14:editId="07201449">
            <wp:extent cx="6075680" cy="3193058"/>
            <wp:effectExtent l="0" t="0" r="127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1332" cy="3196028"/>
                    </a:xfrm>
                    <a:prstGeom prst="rect">
                      <a:avLst/>
                    </a:prstGeom>
                    <a:noFill/>
                  </pic:spPr>
                </pic:pic>
              </a:graphicData>
            </a:graphic>
          </wp:inline>
        </w:drawing>
      </w:r>
    </w:p>
    <w:p w14:paraId="0EA3FDB0" w14:textId="77777777" w:rsidR="00E1656E" w:rsidRDefault="00280DA8" w:rsidP="009A4FC0">
      <w:pPr>
        <w:pStyle w:val="ListParagraph"/>
        <w:ind w:left="360"/>
        <w:jc w:val="both"/>
        <w:rPr>
          <w:sz w:val="22"/>
          <w:szCs w:val="22"/>
        </w:rPr>
      </w:pPr>
      <w:r w:rsidRPr="00195700">
        <w:rPr>
          <w:sz w:val="22"/>
          <w:szCs w:val="22"/>
        </w:rPr>
        <w:t xml:space="preserve">  </w:t>
      </w:r>
    </w:p>
    <w:p w14:paraId="4447F06D" w14:textId="77777777" w:rsidR="007A5595" w:rsidRDefault="007A5595" w:rsidP="00031868">
      <w:pPr>
        <w:ind w:firstLine="360"/>
        <w:jc w:val="both"/>
        <w:rPr>
          <w:sz w:val="22"/>
          <w:szCs w:val="22"/>
        </w:rPr>
      </w:pPr>
      <w:r w:rsidRPr="007A5595">
        <w:rPr>
          <w:noProof/>
        </w:rPr>
        <w:drawing>
          <wp:inline distT="0" distB="0" distL="0" distR="0" wp14:anchorId="74B6F674" wp14:editId="2A19BA5A">
            <wp:extent cx="3667125" cy="3752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7125" cy="3752850"/>
                    </a:xfrm>
                    <a:prstGeom prst="rect">
                      <a:avLst/>
                    </a:prstGeom>
                    <a:noFill/>
                    <a:ln>
                      <a:noFill/>
                    </a:ln>
                  </pic:spPr>
                </pic:pic>
              </a:graphicData>
            </a:graphic>
          </wp:inline>
        </w:drawing>
      </w:r>
    </w:p>
    <w:p w14:paraId="16DF54E0" w14:textId="77777777" w:rsidR="005A389D" w:rsidRDefault="005A389D" w:rsidP="005A389D">
      <w:pPr>
        <w:pStyle w:val="ListParagraph"/>
        <w:spacing w:before="0" w:after="0"/>
        <w:ind w:left="360"/>
        <w:rPr>
          <w:sz w:val="22"/>
          <w:szCs w:val="22"/>
        </w:rPr>
      </w:pPr>
    </w:p>
    <w:p w14:paraId="10C7CF99" w14:textId="77777777" w:rsidR="005A389D" w:rsidRDefault="005A389D" w:rsidP="004D6B96">
      <w:pPr>
        <w:pStyle w:val="ListParagraph"/>
        <w:numPr>
          <w:ilvl w:val="0"/>
          <w:numId w:val="13"/>
        </w:numPr>
        <w:spacing w:before="0" w:after="0"/>
        <w:rPr>
          <w:sz w:val="22"/>
          <w:szCs w:val="22"/>
        </w:rPr>
      </w:pPr>
      <w:r>
        <w:rPr>
          <w:sz w:val="22"/>
          <w:szCs w:val="22"/>
        </w:rPr>
        <w:t>The next table shows the change in the number of very low and low income households in rental stress at 2016 and at 2021.</w:t>
      </w:r>
    </w:p>
    <w:p w14:paraId="5C73D93A" w14:textId="77777777" w:rsidR="005A389D" w:rsidRDefault="005A389D" w:rsidP="004D6B96">
      <w:pPr>
        <w:pStyle w:val="ListParagraph"/>
        <w:numPr>
          <w:ilvl w:val="0"/>
          <w:numId w:val="13"/>
        </w:numPr>
        <w:spacing w:before="0" w:after="0"/>
        <w:rPr>
          <w:sz w:val="22"/>
          <w:szCs w:val="22"/>
        </w:rPr>
      </w:pPr>
      <w:r>
        <w:rPr>
          <w:sz w:val="22"/>
          <w:szCs w:val="22"/>
        </w:rPr>
        <w:t>Again Covid has had an impact on the rental market and on tenants.</w:t>
      </w:r>
    </w:p>
    <w:p w14:paraId="63616C32" w14:textId="77777777" w:rsidR="005A389D" w:rsidRDefault="005A389D" w:rsidP="004D6B96">
      <w:pPr>
        <w:pStyle w:val="ListParagraph"/>
        <w:numPr>
          <w:ilvl w:val="0"/>
          <w:numId w:val="13"/>
        </w:numPr>
        <w:spacing w:before="0" w:after="0"/>
        <w:rPr>
          <w:sz w:val="22"/>
          <w:szCs w:val="22"/>
        </w:rPr>
      </w:pPr>
      <w:r>
        <w:rPr>
          <w:sz w:val="22"/>
          <w:szCs w:val="22"/>
        </w:rPr>
        <w:lastRenderedPageBreak/>
        <w:t>A look at CRA (Commonwealth Rent Assistance) recipients in housing stress gives some further information on what has been happening with lower income households in rental stress over this time frame.</w:t>
      </w:r>
    </w:p>
    <w:p w14:paraId="2B80AA1C" w14:textId="77777777" w:rsidR="005A389D" w:rsidRDefault="005A389D" w:rsidP="00031868">
      <w:pPr>
        <w:ind w:firstLine="360"/>
        <w:jc w:val="both"/>
        <w:rPr>
          <w:sz w:val="20"/>
          <w:szCs w:val="20"/>
        </w:rPr>
      </w:pPr>
      <w:r w:rsidRPr="005A389D">
        <w:rPr>
          <w:noProof/>
        </w:rPr>
        <w:drawing>
          <wp:inline distT="0" distB="0" distL="0" distR="0" wp14:anchorId="380ECC10" wp14:editId="2AB75296">
            <wp:extent cx="3667125" cy="3629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67125" cy="3629025"/>
                    </a:xfrm>
                    <a:prstGeom prst="rect">
                      <a:avLst/>
                    </a:prstGeom>
                    <a:noFill/>
                    <a:ln>
                      <a:noFill/>
                    </a:ln>
                  </pic:spPr>
                </pic:pic>
              </a:graphicData>
            </a:graphic>
          </wp:inline>
        </w:drawing>
      </w:r>
    </w:p>
    <w:p w14:paraId="020AB5E3" w14:textId="77777777" w:rsidR="005A389D" w:rsidRPr="005A389D" w:rsidRDefault="005A389D" w:rsidP="005A389D">
      <w:pPr>
        <w:jc w:val="both"/>
        <w:rPr>
          <w:sz w:val="20"/>
          <w:szCs w:val="20"/>
        </w:rPr>
      </w:pPr>
    </w:p>
    <w:p w14:paraId="6FF08467" w14:textId="77777777" w:rsidR="00353B45" w:rsidRDefault="00353B45" w:rsidP="004D6B96">
      <w:pPr>
        <w:pStyle w:val="ListParagraph"/>
        <w:numPr>
          <w:ilvl w:val="0"/>
          <w:numId w:val="13"/>
        </w:numPr>
        <w:spacing w:before="0" w:after="0"/>
        <w:rPr>
          <w:sz w:val="22"/>
          <w:szCs w:val="22"/>
        </w:rPr>
      </w:pPr>
      <w:r w:rsidRPr="005B4311">
        <w:rPr>
          <w:sz w:val="22"/>
          <w:szCs w:val="22"/>
        </w:rPr>
        <w:t>In line with</w:t>
      </w:r>
      <w:r>
        <w:rPr>
          <w:sz w:val="22"/>
          <w:szCs w:val="22"/>
        </w:rPr>
        <w:t xml:space="preserve"> other parts of NSW, between 2016 and 2020, the total number of CRA recipients in the </w:t>
      </w:r>
      <w:r w:rsidR="005B4311">
        <w:rPr>
          <w:sz w:val="22"/>
          <w:szCs w:val="22"/>
        </w:rPr>
        <w:t xml:space="preserve">Hunter </w:t>
      </w:r>
      <w:r>
        <w:rPr>
          <w:sz w:val="22"/>
          <w:szCs w:val="22"/>
        </w:rPr>
        <w:t>increased significantly, while the number in stress actually declined.  However, between 2020 and 2021 the number of CRA recipients declined while the number in stress increased.</w:t>
      </w:r>
    </w:p>
    <w:p w14:paraId="7914536F" w14:textId="77777777" w:rsidR="00353B45" w:rsidRPr="00C36285" w:rsidRDefault="00353B45" w:rsidP="004D6B96">
      <w:pPr>
        <w:pStyle w:val="ListParagraph"/>
        <w:numPr>
          <w:ilvl w:val="0"/>
          <w:numId w:val="13"/>
        </w:numPr>
        <w:rPr>
          <w:sz w:val="22"/>
          <w:szCs w:val="22"/>
        </w:rPr>
      </w:pPr>
      <w:r w:rsidRPr="00C36285">
        <w:rPr>
          <w:sz w:val="22"/>
          <w:szCs w:val="22"/>
        </w:rPr>
        <w:t xml:space="preserve">The number of CRA recipients </w:t>
      </w:r>
      <w:r>
        <w:rPr>
          <w:sz w:val="22"/>
          <w:szCs w:val="22"/>
        </w:rPr>
        <w:t xml:space="preserve">in </w:t>
      </w:r>
      <w:r w:rsidRPr="00C36285">
        <w:rPr>
          <w:sz w:val="22"/>
          <w:szCs w:val="22"/>
        </w:rPr>
        <w:t xml:space="preserve">housing stress has increased from the June 2020 figures as the temporary Coronavirus Supplement ended on 31 March 2021. </w:t>
      </w:r>
    </w:p>
    <w:p w14:paraId="1BD1CF60" w14:textId="77777777" w:rsidR="00353B45" w:rsidRDefault="00353B45" w:rsidP="004D6B96">
      <w:pPr>
        <w:pStyle w:val="ListParagraph"/>
        <w:numPr>
          <w:ilvl w:val="0"/>
          <w:numId w:val="13"/>
        </w:numPr>
        <w:spacing w:before="0" w:after="0"/>
        <w:rPr>
          <w:sz w:val="22"/>
          <w:szCs w:val="22"/>
        </w:rPr>
      </w:pPr>
      <w:r>
        <w:rPr>
          <w:sz w:val="22"/>
          <w:szCs w:val="22"/>
        </w:rPr>
        <w:t xml:space="preserve">The </w:t>
      </w:r>
      <w:r w:rsidRPr="00C36285">
        <w:rPr>
          <w:sz w:val="22"/>
          <w:szCs w:val="22"/>
        </w:rPr>
        <w:t>Coronavirus Supplement was $550 per fortnight for new and existing recipients of JobSeeker Payment, Parenting Payment, Youth Allowance for jobseekers, Farm Household Allowance and Special Benefit. The temporary supplement almost doubled the maximum payment rate for a JobSeeker Payment recipient. Hence it made rent more affordable for some CRA recipients in June 2020 and resulted in a lower proportion of CRA recipients in rental stress than usual</w:t>
      </w:r>
      <w:r>
        <w:rPr>
          <w:sz w:val="22"/>
          <w:szCs w:val="22"/>
        </w:rPr>
        <w:t>.</w:t>
      </w:r>
    </w:p>
    <w:p w14:paraId="5B0D47B3" w14:textId="77777777" w:rsidR="00353B45" w:rsidRDefault="00353B45" w:rsidP="004D6B96">
      <w:pPr>
        <w:pStyle w:val="ListParagraph"/>
        <w:numPr>
          <w:ilvl w:val="0"/>
          <w:numId w:val="13"/>
        </w:numPr>
        <w:spacing w:before="0" w:after="0"/>
        <w:rPr>
          <w:sz w:val="22"/>
          <w:szCs w:val="22"/>
        </w:rPr>
      </w:pPr>
      <w:r>
        <w:rPr>
          <w:sz w:val="22"/>
          <w:szCs w:val="22"/>
        </w:rPr>
        <w:t>Since the end of Covid restrictions, the number of people in employment has increased, so fewer people are relying on rent assistance from the Commonwealth.</w:t>
      </w:r>
    </w:p>
    <w:p w14:paraId="27849637" w14:textId="77777777" w:rsidR="00353B45" w:rsidRDefault="00353B45" w:rsidP="004D6B96">
      <w:pPr>
        <w:pStyle w:val="ListParagraph"/>
        <w:numPr>
          <w:ilvl w:val="0"/>
          <w:numId w:val="13"/>
        </w:numPr>
        <w:spacing w:before="0" w:after="0"/>
        <w:rPr>
          <w:sz w:val="22"/>
          <w:szCs w:val="22"/>
        </w:rPr>
      </w:pPr>
      <w:r>
        <w:rPr>
          <w:sz w:val="22"/>
          <w:szCs w:val="22"/>
        </w:rPr>
        <w:t>The two graphs below clearly demonstrate this experience in</w:t>
      </w:r>
      <w:r w:rsidR="005B4311">
        <w:rPr>
          <w:sz w:val="22"/>
          <w:szCs w:val="22"/>
        </w:rPr>
        <w:t xml:space="preserve"> the Hunter</w:t>
      </w:r>
      <w:r>
        <w:rPr>
          <w:sz w:val="22"/>
          <w:szCs w:val="22"/>
        </w:rPr>
        <w:t>.</w:t>
      </w:r>
    </w:p>
    <w:p w14:paraId="24837CF2" w14:textId="77777777" w:rsidR="00280DA8" w:rsidRPr="00EC3534" w:rsidRDefault="00280DA8" w:rsidP="005B4311">
      <w:pPr>
        <w:pStyle w:val="ListParagraph"/>
        <w:spacing w:before="0" w:line="259" w:lineRule="auto"/>
        <w:ind w:left="360"/>
        <w:jc w:val="both"/>
        <w:rPr>
          <w:sz w:val="22"/>
          <w:szCs w:val="22"/>
        </w:rPr>
      </w:pPr>
    </w:p>
    <w:p w14:paraId="635D15E5" w14:textId="77777777" w:rsidR="00542A5E" w:rsidRDefault="00542A5E" w:rsidP="00E1656E">
      <w:pPr>
        <w:jc w:val="both"/>
        <w:rPr>
          <w:sz w:val="20"/>
          <w:szCs w:val="20"/>
        </w:rPr>
      </w:pPr>
    </w:p>
    <w:p w14:paraId="051DE50F" w14:textId="77777777" w:rsidR="00D22FE3" w:rsidRDefault="00D22FE3" w:rsidP="00E1656E">
      <w:pPr>
        <w:jc w:val="both"/>
        <w:rPr>
          <w:sz w:val="20"/>
          <w:szCs w:val="20"/>
        </w:rPr>
      </w:pPr>
    </w:p>
    <w:p w14:paraId="66E93562" w14:textId="77777777" w:rsidR="00353B45" w:rsidRDefault="00353B45" w:rsidP="00E1656E">
      <w:pPr>
        <w:jc w:val="both"/>
        <w:rPr>
          <w:sz w:val="20"/>
          <w:szCs w:val="20"/>
        </w:rPr>
      </w:pPr>
      <w:r>
        <w:rPr>
          <w:noProof/>
          <w:sz w:val="20"/>
          <w:szCs w:val="20"/>
        </w:rPr>
        <w:lastRenderedPageBreak/>
        <w:drawing>
          <wp:inline distT="0" distB="0" distL="0" distR="0" wp14:anchorId="55E816FD" wp14:editId="43C6C13A">
            <wp:extent cx="6000750" cy="32774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4585" cy="3284990"/>
                    </a:xfrm>
                    <a:prstGeom prst="rect">
                      <a:avLst/>
                    </a:prstGeom>
                    <a:noFill/>
                  </pic:spPr>
                </pic:pic>
              </a:graphicData>
            </a:graphic>
          </wp:inline>
        </w:drawing>
      </w:r>
    </w:p>
    <w:p w14:paraId="1BB1CEA4" w14:textId="77777777" w:rsidR="00353B45" w:rsidRDefault="00353B45" w:rsidP="00E1656E">
      <w:pPr>
        <w:jc w:val="both"/>
        <w:rPr>
          <w:sz w:val="20"/>
          <w:szCs w:val="20"/>
        </w:rPr>
      </w:pPr>
    </w:p>
    <w:p w14:paraId="0F511B7C" w14:textId="77777777" w:rsidR="00353B45" w:rsidRDefault="00353B45" w:rsidP="00E1656E">
      <w:pPr>
        <w:jc w:val="both"/>
        <w:rPr>
          <w:sz w:val="20"/>
          <w:szCs w:val="20"/>
        </w:rPr>
      </w:pPr>
      <w:r>
        <w:rPr>
          <w:noProof/>
          <w:sz w:val="20"/>
          <w:szCs w:val="20"/>
        </w:rPr>
        <w:drawing>
          <wp:inline distT="0" distB="0" distL="0" distR="0" wp14:anchorId="3AEF9554" wp14:editId="14408764">
            <wp:extent cx="5980385" cy="3362325"/>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4627" cy="3364710"/>
                    </a:xfrm>
                    <a:prstGeom prst="rect">
                      <a:avLst/>
                    </a:prstGeom>
                    <a:noFill/>
                  </pic:spPr>
                </pic:pic>
              </a:graphicData>
            </a:graphic>
          </wp:inline>
        </w:drawing>
      </w:r>
    </w:p>
    <w:p w14:paraId="35981679" w14:textId="77777777" w:rsidR="00353B45" w:rsidRDefault="00353B45" w:rsidP="00E1656E">
      <w:pPr>
        <w:jc w:val="both"/>
        <w:rPr>
          <w:sz w:val="20"/>
          <w:szCs w:val="20"/>
        </w:rPr>
      </w:pPr>
    </w:p>
    <w:p w14:paraId="26A3032A" w14:textId="77777777" w:rsidR="00031AA0" w:rsidRDefault="00031AA0" w:rsidP="00E1656E">
      <w:pPr>
        <w:jc w:val="both"/>
        <w:rPr>
          <w:sz w:val="20"/>
          <w:szCs w:val="20"/>
        </w:rPr>
      </w:pPr>
    </w:p>
    <w:p w14:paraId="56BD289D" w14:textId="77777777" w:rsidR="008B0D22" w:rsidRDefault="008B0D22" w:rsidP="00E1656E">
      <w:pPr>
        <w:jc w:val="both"/>
        <w:rPr>
          <w:sz w:val="20"/>
          <w:szCs w:val="20"/>
        </w:rPr>
      </w:pPr>
    </w:p>
    <w:p w14:paraId="31CBFE61" w14:textId="77777777" w:rsidR="008B0D22" w:rsidRDefault="008B0D22" w:rsidP="00E1656E">
      <w:pPr>
        <w:jc w:val="both"/>
        <w:rPr>
          <w:sz w:val="20"/>
          <w:szCs w:val="20"/>
        </w:rPr>
      </w:pPr>
    </w:p>
    <w:p w14:paraId="79EAA5ED" w14:textId="77777777" w:rsidR="00B96913" w:rsidRPr="007D3CF8" w:rsidRDefault="00B96913" w:rsidP="004D6B96">
      <w:pPr>
        <w:numPr>
          <w:ilvl w:val="0"/>
          <w:numId w:val="15"/>
        </w:numPr>
        <w:spacing w:before="0" w:after="0"/>
        <w:rPr>
          <w:sz w:val="22"/>
          <w:szCs w:val="22"/>
        </w:rPr>
      </w:pPr>
      <w:r w:rsidRPr="007D3CF8">
        <w:rPr>
          <w:sz w:val="22"/>
          <w:szCs w:val="22"/>
        </w:rPr>
        <w:lastRenderedPageBreak/>
        <w:t xml:space="preserve">The table below shows the number and proportion of tenants in the </w:t>
      </w:r>
      <w:r>
        <w:rPr>
          <w:sz w:val="22"/>
          <w:szCs w:val="22"/>
        </w:rPr>
        <w:t xml:space="preserve">Hunter </w:t>
      </w:r>
      <w:r w:rsidRPr="007D3CF8">
        <w:rPr>
          <w:sz w:val="22"/>
          <w:szCs w:val="22"/>
        </w:rPr>
        <w:t xml:space="preserve">region who are in the private rental market, are in receipt of Commonwealth Rent Assistance, and even with this additional income support, are in housing stress.  </w:t>
      </w:r>
    </w:p>
    <w:p w14:paraId="39EC7B5F" w14:textId="77777777" w:rsidR="00B96913" w:rsidRDefault="00B96913" w:rsidP="004D6B96">
      <w:pPr>
        <w:numPr>
          <w:ilvl w:val="0"/>
          <w:numId w:val="15"/>
        </w:numPr>
        <w:spacing w:before="0" w:after="0"/>
        <w:rPr>
          <w:sz w:val="22"/>
          <w:szCs w:val="22"/>
        </w:rPr>
      </w:pPr>
      <w:r w:rsidRPr="007D3CF8">
        <w:rPr>
          <w:sz w:val="22"/>
          <w:szCs w:val="22"/>
        </w:rPr>
        <w:t xml:space="preserve">There were a total of </w:t>
      </w:r>
      <w:r>
        <w:rPr>
          <w:sz w:val="22"/>
          <w:szCs w:val="22"/>
        </w:rPr>
        <w:t xml:space="preserve">24,490 </w:t>
      </w:r>
      <w:r w:rsidRPr="007D3CF8">
        <w:rPr>
          <w:sz w:val="22"/>
          <w:szCs w:val="22"/>
        </w:rPr>
        <w:t xml:space="preserve">tenants in receipt of CRA and in housing stress across the region in 2021, up from </w:t>
      </w:r>
      <w:r>
        <w:rPr>
          <w:sz w:val="22"/>
          <w:szCs w:val="22"/>
        </w:rPr>
        <w:t xml:space="preserve">20,605 </w:t>
      </w:r>
      <w:r w:rsidRPr="007D3CF8">
        <w:rPr>
          <w:sz w:val="22"/>
          <w:szCs w:val="22"/>
        </w:rPr>
        <w:t xml:space="preserve">in 2016. </w:t>
      </w:r>
      <w:r>
        <w:rPr>
          <w:sz w:val="22"/>
          <w:szCs w:val="22"/>
        </w:rPr>
        <w:t xml:space="preserve"> In 2016, 3</w:t>
      </w:r>
      <w:r w:rsidR="00DB4FDF">
        <w:rPr>
          <w:sz w:val="22"/>
          <w:szCs w:val="22"/>
        </w:rPr>
        <w:t>9</w:t>
      </w:r>
      <w:r>
        <w:rPr>
          <w:sz w:val="22"/>
          <w:szCs w:val="22"/>
        </w:rPr>
        <w:t>.4% of CRA recipients in</w:t>
      </w:r>
      <w:r w:rsidR="00DB4FDF">
        <w:rPr>
          <w:sz w:val="22"/>
          <w:szCs w:val="22"/>
        </w:rPr>
        <w:t xml:space="preserve"> the Hunter were in stress</w:t>
      </w:r>
      <w:r>
        <w:rPr>
          <w:sz w:val="22"/>
          <w:szCs w:val="22"/>
        </w:rPr>
        <w:t xml:space="preserve">, increasing to </w:t>
      </w:r>
      <w:r w:rsidR="00DB4FDF">
        <w:rPr>
          <w:sz w:val="22"/>
          <w:szCs w:val="22"/>
        </w:rPr>
        <w:t>41.9</w:t>
      </w:r>
      <w:r>
        <w:rPr>
          <w:sz w:val="22"/>
          <w:szCs w:val="22"/>
        </w:rPr>
        <w:t xml:space="preserve">% in 2021.  </w:t>
      </w:r>
      <w:r w:rsidR="00DB4FDF">
        <w:rPr>
          <w:sz w:val="22"/>
          <w:szCs w:val="22"/>
        </w:rPr>
        <w:t>This compares to 35.1% CRA recipients in stress in 2016 for the Rest of NSW and 39.2% in 2021.</w:t>
      </w:r>
    </w:p>
    <w:p w14:paraId="4045B22B" w14:textId="77777777" w:rsidR="00B96913" w:rsidRDefault="00DB4FDF" w:rsidP="004D6B96">
      <w:pPr>
        <w:numPr>
          <w:ilvl w:val="0"/>
          <w:numId w:val="15"/>
        </w:numPr>
        <w:spacing w:before="0" w:after="0"/>
        <w:rPr>
          <w:sz w:val="22"/>
          <w:szCs w:val="22"/>
        </w:rPr>
      </w:pPr>
      <w:r>
        <w:rPr>
          <w:sz w:val="22"/>
          <w:szCs w:val="22"/>
        </w:rPr>
        <w:t xml:space="preserve">Like the Rest of NSW, the Hunter </w:t>
      </w:r>
      <w:r w:rsidR="00B96913" w:rsidRPr="007D3CF8">
        <w:rPr>
          <w:sz w:val="22"/>
          <w:szCs w:val="22"/>
        </w:rPr>
        <w:t>region is</w:t>
      </w:r>
      <w:r w:rsidR="00B96913">
        <w:rPr>
          <w:sz w:val="22"/>
          <w:szCs w:val="22"/>
        </w:rPr>
        <w:t xml:space="preserve"> becoming increasingly unaffordable for lower income tenants</w:t>
      </w:r>
      <w:r w:rsidR="004D6B96">
        <w:rPr>
          <w:sz w:val="22"/>
          <w:szCs w:val="22"/>
        </w:rPr>
        <w:t xml:space="preserve"> – although clearly affordability is much tighter in </w:t>
      </w:r>
      <w:r w:rsidR="00B90173">
        <w:rPr>
          <w:sz w:val="22"/>
          <w:szCs w:val="22"/>
        </w:rPr>
        <w:t xml:space="preserve">some </w:t>
      </w:r>
      <w:r w:rsidR="004D6B96">
        <w:rPr>
          <w:sz w:val="22"/>
          <w:szCs w:val="22"/>
        </w:rPr>
        <w:t>LGAs than others</w:t>
      </w:r>
      <w:r w:rsidR="00B96913" w:rsidRPr="007D3CF8">
        <w:rPr>
          <w:sz w:val="22"/>
          <w:szCs w:val="22"/>
        </w:rPr>
        <w:t>.</w:t>
      </w:r>
    </w:p>
    <w:p w14:paraId="4CD10079" w14:textId="77777777" w:rsidR="00B96913" w:rsidRPr="007D3CF8" w:rsidRDefault="00B96913" w:rsidP="004D6B96">
      <w:pPr>
        <w:numPr>
          <w:ilvl w:val="0"/>
          <w:numId w:val="15"/>
        </w:numPr>
        <w:spacing w:before="0" w:after="0"/>
        <w:rPr>
          <w:sz w:val="22"/>
          <w:szCs w:val="22"/>
        </w:rPr>
      </w:pPr>
      <w:r>
        <w:rPr>
          <w:sz w:val="22"/>
          <w:szCs w:val="22"/>
        </w:rPr>
        <w:t xml:space="preserve">There are </w:t>
      </w:r>
      <w:r w:rsidR="00DB4FDF">
        <w:rPr>
          <w:sz w:val="22"/>
          <w:szCs w:val="22"/>
        </w:rPr>
        <w:t>three</w:t>
      </w:r>
      <w:r>
        <w:rPr>
          <w:sz w:val="22"/>
          <w:szCs w:val="22"/>
        </w:rPr>
        <w:t xml:space="preserve"> local government areas in the region with a higher proportion</w:t>
      </w:r>
      <w:r w:rsidR="00031868">
        <w:rPr>
          <w:sz w:val="22"/>
          <w:szCs w:val="22"/>
        </w:rPr>
        <w:t xml:space="preserve"> of CRA recipients</w:t>
      </w:r>
      <w:r>
        <w:rPr>
          <w:sz w:val="22"/>
          <w:szCs w:val="22"/>
        </w:rPr>
        <w:t xml:space="preserve"> in stress than the Rest of NSW –</w:t>
      </w:r>
      <w:r w:rsidR="00DB4FDF">
        <w:rPr>
          <w:sz w:val="22"/>
          <w:szCs w:val="22"/>
        </w:rPr>
        <w:t xml:space="preserve"> Newcastle has the highest with a huge 55.0</w:t>
      </w:r>
      <w:r>
        <w:rPr>
          <w:sz w:val="22"/>
          <w:szCs w:val="22"/>
        </w:rPr>
        <w:t>%</w:t>
      </w:r>
      <w:r w:rsidR="00DB4FDF">
        <w:rPr>
          <w:sz w:val="22"/>
          <w:szCs w:val="22"/>
        </w:rPr>
        <w:t>, followed by Lake Macquarie with 43.4% and Dungog with 40.0%</w:t>
      </w:r>
      <w:r>
        <w:rPr>
          <w:sz w:val="22"/>
          <w:szCs w:val="22"/>
        </w:rPr>
        <w:t>.  These areas in particular are less affordable for lower income tenants.</w:t>
      </w:r>
    </w:p>
    <w:p w14:paraId="090C0E88" w14:textId="77777777" w:rsidR="008B0D22" w:rsidRDefault="008B0D22" w:rsidP="00E1656E">
      <w:pPr>
        <w:jc w:val="both"/>
        <w:rPr>
          <w:sz w:val="20"/>
          <w:szCs w:val="20"/>
        </w:rPr>
      </w:pPr>
    </w:p>
    <w:p w14:paraId="2E963273" w14:textId="77777777" w:rsidR="008B0D22" w:rsidRDefault="008B0D22" w:rsidP="00031868">
      <w:pPr>
        <w:ind w:firstLine="360"/>
        <w:jc w:val="both"/>
        <w:rPr>
          <w:sz w:val="20"/>
          <w:szCs w:val="20"/>
        </w:rPr>
      </w:pPr>
      <w:r w:rsidRPr="008B0D22">
        <w:rPr>
          <w:noProof/>
        </w:rPr>
        <w:drawing>
          <wp:inline distT="0" distB="0" distL="0" distR="0" wp14:anchorId="0A96D2EF" wp14:editId="5726D8DD">
            <wp:extent cx="3057525" cy="32099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57525" cy="3209925"/>
                    </a:xfrm>
                    <a:prstGeom prst="rect">
                      <a:avLst/>
                    </a:prstGeom>
                    <a:noFill/>
                    <a:ln>
                      <a:noFill/>
                    </a:ln>
                  </pic:spPr>
                </pic:pic>
              </a:graphicData>
            </a:graphic>
          </wp:inline>
        </w:drawing>
      </w:r>
    </w:p>
    <w:p w14:paraId="531A44B6" w14:textId="77777777" w:rsidR="00787EB8" w:rsidRPr="00DD06C2" w:rsidRDefault="00787EB8" w:rsidP="00E1656E">
      <w:pPr>
        <w:jc w:val="both"/>
        <w:rPr>
          <w:sz w:val="20"/>
          <w:szCs w:val="20"/>
        </w:rPr>
      </w:pPr>
    </w:p>
    <w:p w14:paraId="31CAD947" w14:textId="77777777" w:rsidR="00E1656E" w:rsidRPr="00E7028F" w:rsidRDefault="00E1656E" w:rsidP="00E1656E">
      <w:pPr>
        <w:jc w:val="both"/>
        <w:rPr>
          <w:b/>
          <w:color w:val="008000"/>
          <w:sz w:val="32"/>
        </w:rPr>
      </w:pPr>
      <w:r w:rsidRPr="00E7028F">
        <w:rPr>
          <w:b/>
          <w:color w:val="008000"/>
          <w:sz w:val="32"/>
        </w:rPr>
        <w:t>Loss of Affordable Housing Stock</w:t>
      </w:r>
    </w:p>
    <w:p w14:paraId="4DFE467E" w14:textId="77777777" w:rsidR="00A74395" w:rsidRPr="00EC3534" w:rsidRDefault="00A74395" w:rsidP="00A74395">
      <w:pPr>
        <w:numPr>
          <w:ilvl w:val="0"/>
          <w:numId w:val="5"/>
        </w:numPr>
        <w:spacing w:before="0" w:after="0"/>
        <w:jc w:val="both"/>
        <w:rPr>
          <w:sz w:val="22"/>
          <w:szCs w:val="22"/>
        </w:rPr>
      </w:pPr>
      <w:r w:rsidRPr="00DD561F">
        <w:rPr>
          <w:sz w:val="22"/>
          <w:szCs w:val="22"/>
        </w:rPr>
        <w:t>DCJ has</w:t>
      </w:r>
      <w:r w:rsidRPr="00EC3534">
        <w:rPr>
          <w:sz w:val="22"/>
          <w:szCs w:val="22"/>
        </w:rPr>
        <w:t xml:space="preserve"> calculated the number of new bonds lodged with the Rental Bond Board that were affordable to low income earners in </w:t>
      </w:r>
      <w:r>
        <w:rPr>
          <w:sz w:val="22"/>
          <w:szCs w:val="22"/>
        </w:rPr>
        <w:t xml:space="preserve">the </w:t>
      </w:r>
      <w:r w:rsidR="00F72A9A">
        <w:rPr>
          <w:sz w:val="22"/>
          <w:szCs w:val="22"/>
        </w:rPr>
        <w:t xml:space="preserve">Hunter </w:t>
      </w:r>
      <w:r>
        <w:rPr>
          <w:sz w:val="22"/>
          <w:szCs w:val="22"/>
        </w:rPr>
        <w:t xml:space="preserve">region </w:t>
      </w:r>
      <w:r w:rsidRPr="00EC3534">
        <w:rPr>
          <w:sz w:val="22"/>
          <w:szCs w:val="22"/>
        </w:rPr>
        <w:t>in 2017</w:t>
      </w:r>
      <w:r>
        <w:rPr>
          <w:sz w:val="22"/>
          <w:szCs w:val="22"/>
        </w:rPr>
        <w:t>, 2021 and 2022</w:t>
      </w:r>
      <w:r w:rsidRPr="00EC3534">
        <w:rPr>
          <w:sz w:val="22"/>
          <w:szCs w:val="22"/>
        </w:rPr>
        <w:t xml:space="preserve">.  </w:t>
      </w:r>
      <w:r>
        <w:rPr>
          <w:sz w:val="22"/>
          <w:szCs w:val="22"/>
        </w:rPr>
        <w:t xml:space="preserve">The region </w:t>
      </w:r>
      <w:r w:rsidRPr="00EC3534">
        <w:rPr>
          <w:sz w:val="22"/>
          <w:szCs w:val="22"/>
        </w:rPr>
        <w:t>experienced a significant decline in affordable bonds lodged, and consequently loss of affordable housing between 20</w:t>
      </w:r>
      <w:r w:rsidR="004122F9">
        <w:rPr>
          <w:sz w:val="22"/>
          <w:szCs w:val="22"/>
        </w:rPr>
        <w:t>17</w:t>
      </w:r>
      <w:r w:rsidRPr="00EC3534">
        <w:rPr>
          <w:sz w:val="22"/>
          <w:szCs w:val="22"/>
        </w:rPr>
        <w:t xml:space="preserve"> and 20</w:t>
      </w:r>
      <w:r>
        <w:rPr>
          <w:sz w:val="22"/>
          <w:szCs w:val="22"/>
        </w:rPr>
        <w:t>22</w:t>
      </w:r>
      <w:r w:rsidRPr="00EC3534">
        <w:rPr>
          <w:sz w:val="22"/>
          <w:szCs w:val="22"/>
        </w:rPr>
        <w:t xml:space="preserve"> – with </w:t>
      </w:r>
      <w:r w:rsidR="004122F9">
        <w:rPr>
          <w:sz w:val="22"/>
          <w:szCs w:val="22"/>
        </w:rPr>
        <w:t>699</w:t>
      </w:r>
      <w:r w:rsidRPr="00EC3534">
        <w:rPr>
          <w:sz w:val="22"/>
          <w:szCs w:val="22"/>
        </w:rPr>
        <w:t xml:space="preserve"> fewer affordable bonds lodged – representing a </w:t>
      </w:r>
      <w:r w:rsidR="0050174D">
        <w:rPr>
          <w:sz w:val="22"/>
          <w:szCs w:val="22"/>
        </w:rPr>
        <w:t>reduction</w:t>
      </w:r>
      <w:r>
        <w:rPr>
          <w:sz w:val="22"/>
          <w:szCs w:val="22"/>
        </w:rPr>
        <w:t xml:space="preserve"> of </w:t>
      </w:r>
      <w:r w:rsidR="004122F9">
        <w:rPr>
          <w:sz w:val="22"/>
          <w:szCs w:val="22"/>
        </w:rPr>
        <w:t>25.0</w:t>
      </w:r>
      <w:r>
        <w:rPr>
          <w:sz w:val="22"/>
          <w:szCs w:val="22"/>
        </w:rPr>
        <w:t xml:space="preserve">% </w:t>
      </w:r>
      <w:r w:rsidR="0050174D">
        <w:rPr>
          <w:sz w:val="22"/>
          <w:szCs w:val="22"/>
        </w:rPr>
        <w:t>in</w:t>
      </w:r>
      <w:r>
        <w:rPr>
          <w:sz w:val="22"/>
          <w:szCs w:val="22"/>
        </w:rPr>
        <w:t xml:space="preserve"> affordable </w:t>
      </w:r>
      <w:r w:rsidR="0050174D">
        <w:rPr>
          <w:sz w:val="22"/>
          <w:szCs w:val="22"/>
        </w:rPr>
        <w:t xml:space="preserve">rental </w:t>
      </w:r>
      <w:r>
        <w:rPr>
          <w:sz w:val="22"/>
          <w:szCs w:val="22"/>
        </w:rPr>
        <w:t>stock</w:t>
      </w:r>
      <w:r w:rsidRPr="00EC3534">
        <w:rPr>
          <w:sz w:val="22"/>
          <w:szCs w:val="22"/>
        </w:rPr>
        <w:t xml:space="preserve">.   </w:t>
      </w:r>
    </w:p>
    <w:p w14:paraId="2EE3377A" w14:textId="77777777" w:rsidR="00A74395" w:rsidRPr="005A20CD" w:rsidRDefault="00A74395" w:rsidP="00A74395">
      <w:pPr>
        <w:numPr>
          <w:ilvl w:val="0"/>
          <w:numId w:val="5"/>
        </w:numPr>
        <w:spacing w:before="0" w:after="0"/>
        <w:jc w:val="both"/>
        <w:rPr>
          <w:b/>
          <w:sz w:val="20"/>
          <w:szCs w:val="20"/>
        </w:rPr>
      </w:pPr>
      <w:r w:rsidRPr="003B6984">
        <w:rPr>
          <w:sz w:val="22"/>
          <w:szCs w:val="22"/>
        </w:rPr>
        <w:t xml:space="preserve">The table below shows the number of </w:t>
      </w:r>
      <w:r>
        <w:rPr>
          <w:sz w:val="22"/>
          <w:szCs w:val="22"/>
        </w:rPr>
        <w:t xml:space="preserve">new </w:t>
      </w:r>
      <w:r w:rsidRPr="003B6984">
        <w:rPr>
          <w:sz w:val="22"/>
          <w:szCs w:val="22"/>
        </w:rPr>
        <w:t>bonds lodged that were affordable to low income households (including very low income households) in 2017</w:t>
      </w:r>
      <w:r>
        <w:rPr>
          <w:sz w:val="22"/>
          <w:szCs w:val="22"/>
        </w:rPr>
        <w:t>, 2021 and 2022</w:t>
      </w:r>
      <w:r w:rsidRPr="003B6984">
        <w:rPr>
          <w:sz w:val="22"/>
          <w:szCs w:val="22"/>
        </w:rPr>
        <w:t xml:space="preserve"> in</w:t>
      </w:r>
      <w:r>
        <w:rPr>
          <w:sz w:val="22"/>
          <w:szCs w:val="22"/>
        </w:rPr>
        <w:t xml:space="preserve"> each of the </w:t>
      </w:r>
      <w:r w:rsidR="00F72A9A">
        <w:rPr>
          <w:sz w:val="22"/>
          <w:szCs w:val="22"/>
        </w:rPr>
        <w:t xml:space="preserve">Hunter </w:t>
      </w:r>
      <w:r>
        <w:rPr>
          <w:sz w:val="22"/>
          <w:szCs w:val="22"/>
        </w:rPr>
        <w:t>LGAs as well as the total for the Region</w:t>
      </w:r>
      <w:r w:rsidRPr="003B6984">
        <w:rPr>
          <w:sz w:val="22"/>
          <w:szCs w:val="22"/>
        </w:rPr>
        <w:t>.</w:t>
      </w:r>
    </w:p>
    <w:p w14:paraId="5DD405C8" w14:textId="77777777" w:rsidR="00A74395" w:rsidRPr="00691AEC" w:rsidRDefault="00A74395" w:rsidP="00A74395">
      <w:pPr>
        <w:numPr>
          <w:ilvl w:val="0"/>
          <w:numId w:val="5"/>
        </w:numPr>
        <w:spacing w:before="0" w:after="0"/>
        <w:jc w:val="both"/>
        <w:rPr>
          <w:sz w:val="20"/>
          <w:szCs w:val="20"/>
        </w:rPr>
      </w:pPr>
      <w:r>
        <w:rPr>
          <w:sz w:val="22"/>
          <w:szCs w:val="22"/>
        </w:rPr>
        <w:lastRenderedPageBreak/>
        <w:t>It is clear from th</w:t>
      </w:r>
      <w:r w:rsidRPr="005A20CD">
        <w:rPr>
          <w:sz w:val="22"/>
          <w:szCs w:val="22"/>
        </w:rPr>
        <w:t xml:space="preserve">e table that </w:t>
      </w:r>
      <w:r w:rsidR="00F72A9A">
        <w:rPr>
          <w:sz w:val="22"/>
          <w:szCs w:val="22"/>
        </w:rPr>
        <w:t xml:space="preserve">Mid Coast </w:t>
      </w:r>
      <w:r w:rsidRPr="005A20CD">
        <w:rPr>
          <w:sz w:val="22"/>
          <w:szCs w:val="22"/>
        </w:rPr>
        <w:t>(-</w:t>
      </w:r>
      <w:r w:rsidR="00F72A9A">
        <w:rPr>
          <w:sz w:val="22"/>
          <w:szCs w:val="22"/>
        </w:rPr>
        <w:t>1</w:t>
      </w:r>
      <w:r w:rsidR="004122F9">
        <w:rPr>
          <w:sz w:val="22"/>
          <w:szCs w:val="22"/>
        </w:rPr>
        <w:t>40</w:t>
      </w:r>
      <w:r>
        <w:rPr>
          <w:sz w:val="22"/>
          <w:szCs w:val="22"/>
        </w:rPr>
        <w:t>)</w:t>
      </w:r>
      <w:r w:rsidRPr="005A20CD">
        <w:rPr>
          <w:sz w:val="22"/>
          <w:szCs w:val="22"/>
        </w:rPr>
        <w:t xml:space="preserve">, </w:t>
      </w:r>
      <w:r w:rsidR="00F72A9A">
        <w:rPr>
          <w:sz w:val="22"/>
          <w:szCs w:val="22"/>
        </w:rPr>
        <w:t xml:space="preserve">Lake Macquarie </w:t>
      </w:r>
      <w:r>
        <w:rPr>
          <w:sz w:val="22"/>
          <w:szCs w:val="22"/>
        </w:rPr>
        <w:t>(-</w:t>
      </w:r>
      <w:r w:rsidR="004122F9">
        <w:rPr>
          <w:sz w:val="22"/>
          <w:szCs w:val="22"/>
        </w:rPr>
        <w:t>104</w:t>
      </w:r>
      <w:r w:rsidRPr="005A20CD">
        <w:rPr>
          <w:sz w:val="22"/>
          <w:szCs w:val="22"/>
        </w:rPr>
        <w:t>),</w:t>
      </w:r>
      <w:r>
        <w:rPr>
          <w:sz w:val="22"/>
          <w:szCs w:val="22"/>
        </w:rPr>
        <w:t xml:space="preserve"> </w:t>
      </w:r>
      <w:r w:rsidR="00F72A9A">
        <w:rPr>
          <w:sz w:val="22"/>
          <w:szCs w:val="22"/>
        </w:rPr>
        <w:t>Cessnock</w:t>
      </w:r>
      <w:r>
        <w:rPr>
          <w:sz w:val="22"/>
          <w:szCs w:val="22"/>
        </w:rPr>
        <w:t xml:space="preserve"> </w:t>
      </w:r>
      <w:r w:rsidRPr="005A20CD">
        <w:rPr>
          <w:sz w:val="22"/>
          <w:szCs w:val="22"/>
        </w:rPr>
        <w:t>(-</w:t>
      </w:r>
      <w:r w:rsidR="004122F9">
        <w:rPr>
          <w:sz w:val="22"/>
          <w:szCs w:val="22"/>
        </w:rPr>
        <w:t>101</w:t>
      </w:r>
      <w:r>
        <w:rPr>
          <w:sz w:val="22"/>
          <w:szCs w:val="22"/>
        </w:rPr>
        <w:t>)</w:t>
      </w:r>
      <w:r w:rsidR="00F72A9A">
        <w:rPr>
          <w:sz w:val="22"/>
          <w:szCs w:val="22"/>
        </w:rPr>
        <w:t>, Maitland</w:t>
      </w:r>
      <w:r>
        <w:rPr>
          <w:sz w:val="22"/>
          <w:szCs w:val="22"/>
        </w:rPr>
        <w:t xml:space="preserve"> (</w:t>
      </w:r>
      <w:r w:rsidR="00F72A9A">
        <w:rPr>
          <w:sz w:val="22"/>
          <w:szCs w:val="22"/>
        </w:rPr>
        <w:t>-</w:t>
      </w:r>
      <w:r w:rsidR="004122F9">
        <w:rPr>
          <w:sz w:val="22"/>
          <w:szCs w:val="22"/>
        </w:rPr>
        <w:t>94</w:t>
      </w:r>
      <w:r>
        <w:rPr>
          <w:sz w:val="22"/>
          <w:szCs w:val="22"/>
        </w:rPr>
        <w:t>)</w:t>
      </w:r>
      <w:r w:rsidR="004122F9">
        <w:rPr>
          <w:sz w:val="22"/>
          <w:szCs w:val="22"/>
        </w:rPr>
        <w:t>, Newcastle (-91) and Port Stephens (-88)</w:t>
      </w:r>
      <w:r>
        <w:rPr>
          <w:sz w:val="22"/>
          <w:szCs w:val="22"/>
        </w:rPr>
        <w:t xml:space="preserve"> </w:t>
      </w:r>
      <w:r w:rsidRPr="005A20CD">
        <w:rPr>
          <w:sz w:val="22"/>
          <w:szCs w:val="22"/>
        </w:rPr>
        <w:t>ha</w:t>
      </w:r>
      <w:r w:rsidR="004122F9">
        <w:rPr>
          <w:sz w:val="22"/>
          <w:szCs w:val="22"/>
        </w:rPr>
        <w:t>d</w:t>
      </w:r>
      <w:r w:rsidRPr="005A20CD">
        <w:rPr>
          <w:sz w:val="22"/>
          <w:szCs w:val="22"/>
        </w:rPr>
        <w:t xml:space="preserve"> the largest numeric losses.  </w:t>
      </w:r>
      <w:r>
        <w:rPr>
          <w:sz w:val="22"/>
          <w:szCs w:val="22"/>
        </w:rPr>
        <w:t>P</w:t>
      </w:r>
      <w:r w:rsidRPr="005A20CD">
        <w:rPr>
          <w:sz w:val="22"/>
          <w:szCs w:val="22"/>
        </w:rPr>
        <w:t xml:space="preserve">roportionately, </w:t>
      </w:r>
      <w:r w:rsidR="004122F9">
        <w:rPr>
          <w:sz w:val="22"/>
          <w:szCs w:val="22"/>
        </w:rPr>
        <w:t>Singleton</w:t>
      </w:r>
      <w:r>
        <w:rPr>
          <w:sz w:val="22"/>
          <w:szCs w:val="22"/>
        </w:rPr>
        <w:t xml:space="preserve"> </w:t>
      </w:r>
      <w:r w:rsidRPr="005A20CD">
        <w:rPr>
          <w:sz w:val="22"/>
          <w:szCs w:val="22"/>
        </w:rPr>
        <w:t>experienced the largest decline (</w:t>
      </w:r>
      <w:r>
        <w:rPr>
          <w:sz w:val="22"/>
          <w:szCs w:val="22"/>
        </w:rPr>
        <w:t>-</w:t>
      </w:r>
      <w:r w:rsidR="004122F9">
        <w:rPr>
          <w:sz w:val="22"/>
          <w:szCs w:val="22"/>
        </w:rPr>
        <w:t>48</w:t>
      </w:r>
      <w:r w:rsidR="00E4365B">
        <w:rPr>
          <w:sz w:val="22"/>
          <w:szCs w:val="22"/>
        </w:rPr>
        <w:t>.0</w:t>
      </w:r>
      <w:r w:rsidRPr="005A20CD">
        <w:rPr>
          <w:sz w:val="22"/>
          <w:szCs w:val="22"/>
        </w:rPr>
        <w:t xml:space="preserve">%), followed by </w:t>
      </w:r>
      <w:r w:rsidR="004122F9">
        <w:rPr>
          <w:sz w:val="22"/>
          <w:szCs w:val="22"/>
        </w:rPr>
        <w:t>Port Stephens</w:t>
      </w:r>
      <w:r w:rsidR="00E4365B">
        <w:rPr>
          <w:sz w:val="22"/>
          <w:szCs w:val="22"/>
        </w:rPr>
        <w:t xml:space="preserve"> (-</w:t>
      </w:r>
      <w:r w:rsidR="004122F9">
        <w:rPr>
          <w:sz w:val="22"/>
          <w:szCs w:val="22"/>
        </w:rPr>
        <w:t>38.9</w:t>
      </w:r>
      <w:r w:rsidR="00E4365B">
        <w:rPr>
          <w:sz w:val="22"/>
          <w:szCs w:val="22"/>
        </w:rPr>
        <w:t xml:space="preserve">%), then Cessnock </w:t>
      </w:r>
      <w:r w:rsidR="004122F9">
        <w:rPr>
          <w:sz w:val="22"/>
          <w:szCs w:val="22"/>
        </w:rPr>
        <w:t>(-36.3%), Maitland</w:t>
      </w:r>
      <w:r w:rsidR="00E4365B">
        <w:rPr>
          <w:sz w:val="22"/>
          <w:szCs w:val="22"/>
        </w:rPr>
        <w:t xml:space="preserve"> </w:t>
      </w:r>
      <w:r>
        <w:rPr>
          <w:sz w:val="22"/>
          <w:szCs w:val="22"/>
        </w:rPr>
        <w:t>(</w:t>
      </w:r>
      <w:r w:rsidR="00E4365B">
        <w:rPr>
          <w:sz w:val="22"/>
          <w:szCs w:val="22"/>
        </w:rPr>
        <w:t>-</w:t>
      </w:r>
      <w:r w:rsidR="004122F9">
        <w:rPr>
          <w:sz w:val="22"/>
          <w:szCs w:val="22"/>
        </w:rPr>
        <w:t>3</w:t>
      </w:r>
      <w:r w:rsidR="00E4365B">
        <w:rPr>
          <w:sz w:val="22"/>
          <w:szCs w:val="22"/>
        </w:rPr>
        <w:t>5</w:t>
      </w:r>
      <w:r w:rsidR="004122F9">
        <w:rPr>
          <w:sz w:val="22"/>
          <w:szCs w:val="22"/>
        </w:rPr>
        <w:t>.2</w:t>
      </w:r>
      <w:r w:rsidR="00E4365B">
        <w:rPr>
          <w:sz w:val="22"/>
          <w:szCs w:val="22"/>
        </w:rPr>
        <w:t>%)</w:t>
      </w:r>
      <w:r w:rsidR="00D05D17">
        <w:rPr>
          <w:sz w:val="22"/>
          <w:szCs w:val="22"/>
        </w:rPr>
        <w:t xml:space="preserve"> and Upper Hunter (-33.3%)</w:t>
      </w:r>
      <w:r w:rsidRPr="005A20CD">
        <w:rPr>
          <w:sz w:val="22"/>
          <w:szCs w:val="22"/>
        </w:rPr>
        <w:t>.</w:t>
      </w:r>
    </w:p>
    <w:p w14:paraId="29EEA7EB" w14:textId="77777777" w:rsidR="00A74395" w:rsidRDefault="00A74395" w:rsidP="00A74395">
      <w:pPr>
        <w:spacing w:before="0" w:after="0"/>
        <w:jc w:val="both"/>
        <w:rPr>
          <w:sz w:val="20"/>
          <w:szCs w:val="20"/>
        </w:rPr>
      </w:pPr>
    </w:p>
    <w:p w14:paraId="43ACA92E" w14:textId="77777777" w:rsidR="00A74395" w:rsidRDefault="00A74395" w:rsidP="00A74395">
      <w:pPr>
        <w:spacing w:before="0" w:after="0"/>
        <w:jc w:val="both"/>
        <w:rPr>
          <w:sz w:val="20"/>
          <w:szCs w:val="20"/>
        </w:rPr>
      </w:pPr>
    </w:p>
    <w:p w14:paraId="51E31623" w14:textId="77777777" w:rsidR="00A74395" w:rsidRDefault="00A74395" w:rsidP="00A74395">
      <w:pPr>
        <w:spacing w:before="0" w:after="0"/>
        <w:jc w:val="both"/>
        <w:rPr>
          <w:sz w:val="22"/>
          <w:szCs w:val="22"/>
        </w:rPr>
      </w:pPr>
      <w:r>
        <w:rPr>
          <w:sz w:val="22"/>
          <w:szCs w:val="22"/>
        </w:rPr>
        <w:t>Number of affordable rental properties (new bonds lodged) affordable to low income households</w:t>
      </w:r>
    </w:p>
    <w:p w14:paraId="0FD5210C" w14:textId="77777777" w:rsidR="00F72A9A" w:rsidRDefault="004122F9" w:rsidP="00A74395">
      <w:pPr>
        <w:spacing w:before="0" w:after="0"/>
        <w:jc w:val="both"/>
        <w:rPr>
          <w:sz w:val="22"/>
          <w:szCs w:val="22"/>
        </w:rPr>
      </w:pPr>
      <w:r w:rsidRPr="004122F9">
        <w:rPr>
          <w:noProof/>
        </w:rPr>
        <w:drawing>
          <wp:inline distT="0" distB="0" distL="0" distR="0" wp14:anchorId="085A7F6A" wp14:editId="12D6B2EB">
            <wp:extent cx="4772025" cy="2867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72025" cy="2867025"/>
                    </a:xfrm>
                    <a:prstGeom prst="rect">
                      <a:avLst/>
                    </a:prstGeom>
                    <a:noFill/>
                    <a:ln>
                      <a:noFill/>
                    </a:ln>
                  </pic:spPr>
                </pic:pic>
              </a:graphicData>
            </a:graphic>
          </wp:inline>
        </w:drawing>
      </w:r>
    </w:p>
    <w:p w14:paraId="7E618526" w14:textId="77777777" w:rsidR="00F72A9A" w:rsidRDefault="00F72A9A" w:rsidP="00A74395">
      <w:pPr>
        <w:spacing w:before="0" w:after="0"/>
        <w:jc w:val="both"/>
        <w:rPr>
          <w:sz w:val="22"/>
          <w:szCs w:val="22"/>
        </w:rPr>
      </w:pPr>
    </w:p>
    <w:p w14:paraId="7E3E010E" w14:textId="77777777" w:rsidR="00F22079" w:rsidRPr="007710BF" w:rsidRDefault="00F22079" w:rsidP="00E1656E">
      <w:pPr>
        <w:jc w:val="both"/>
        <w:rPr>
          <w:sz w:val="20"/>
          <w:szCs w:val="20"/>
          <w:highlight w:val="yellow"/>
        </w:rPr>
      </w:pPr>
    </w:p>
    <w:p w14:paraId="2BBB78D6" w14:textId="77777777" w:rsidR="00E1656E" w:rsidRPr="00FC4560" w:rsidRDefault="00E1656E" w:rsidP="00E1656E">
      <w:pPr>
        <w:pStyle w:val="Heading1"/>
        <w:jc w:val="both"/>
        <w:rPr>
          <w:b/>
          <w:i/>
          <w:iCs/>
          <w:color w:val="008000"/>
          <w:kern w:val="0"/>
          <w:sz w:val="32"/>
        </w:rPr>
      </w:pPr>
      <w:r w:rsidRPr="00FC4560">
        <w:rPr>
          <w:b/>
          <w:i/>
          <w:iCs/>
          <w:color w:val="008000"/>
          <w:kern w:val="0"/>
          <w:sz w:val="32"/>
        </w:rPr>
        <w:t>Housing Market - Purchase</w:t>
      </w:r>
    </w:p>
    <w:p w14:paraId="5217823B" w14:textId="77777777" w:rsidR="00E1656E" w:rsidRPr="00670593" w:rsidRDefault="00E1656E" w:rsidP="00E1656E">
      <w:pPr>
        <w:jc w:val="both"/>
        <w:rPr>
          <w:sz w:val="20"/>
          <w:szCs w:val="20"/>
        </w:rPr>
      </w:pPr>
    </w:p>
    <w:p w14:paraId="6AEBFF20" w14:textId="77777777" w:rsidR="00E1656E" w:rsidRDefault="00E1656E" w:rsidP="00E1656E">
      <w:pPr>
        <w:jc w:val="both"/>
        <w:rPr>
          <w:sz w:val="20"/>
          <w:szCs w:val="20"/>
        </w:rPr>
      </w:pPr>
      <w:r w:rsidRPr="003C6C13">
        <w:rPr>
          <w:b/>
          <w:color w:val="008000"/>
          <w:sz w:val="32"/>
        </w:rPr>
        <w:t>Sales Price</w:t>
      </w:r>
    </w:p>
    <w:p w14:paraId="7AA76BD4" w14:textId="77777777" w:rsidR="008809DE" w:rsidRPr="00885A40" w:rsidRDefault="008809DE" w:rsidP="008809DE">
      <w:pPr>
        <w:numPr>
          <w:ilvl w:val="0"/>
          <w:numId w:val="5"/>
        </w:numPr>
        <w:spacing w:before="0" w:after="0"/>
        <w:rPr>
          <w:sz w:val="22"/>
          <w:szCs w:val="22"/>
        </w:rPr>
      </w:pPr>
      <w:r w:rsidRPr="00885A40">
        <w:rPr>
          <w:sz w:val="22"/>
          <w:szCs w:val="22"/>
        </w:rPr>
        <w:t xml:space="preserve">Changes in the median sales price of both houses and flats </w:t>
      </w:r>
      <w:r>
        <w:rPr>
          <w:sz w:val="22"/>
          <w:szCs w:val="22"/>
        </w:rPr>
        <w:t xml:space="preserve">in the Hunter </w:t>
      </w:r>
      <w:r w:rsidRPr="00885A40">
        <w:rPr>
          <w:sz w:val="22"/>
          <w:szCs w:val="22"/>
        </w:rPr>
        <w:t xml:space="preserve">over the ten years to March 2022 have been upward.  </w:t>
      </w:r>
    </w:p>
    <w:p w14:paraId="03E091F0" w14:textId="77777777" w:rsidR="008809DE" w:rsidRPr="00885A40" w:rsidRDefault="008809DE" w:rsidP="008809DE">
      <w:pPr>
        <w:numPr>
          <w:ilvl w:val="0"/>
          <w:numId w:val="5"/>
        </w:numPr>
        <w:spacing w:before="0" w:after="0"/>
        <w:rPr>
          <w:sz w:val="22"/>
          <w:szCs w:val="22"/>
        </w:rPr>
      </w:pPr>
      <w:r>
        <w:rPr>
          <w:sz w:val="22"/>
          <w:szCs w:val="22"/>
        </w:rPr>
        <w:t xml:space="preserve">Dungog </w:t>
      </w:r>
      <w:r w:rsidRPr="00885A40">
        <w:rPr>
          <w:sz w:val="22"/>
          <w:szCs w:val="22"/>
        </w:rPr>
        <w:t>(</w:t>
      </w:r>
      <w:r>
        <w:rPr>
          <w:sz w:val="22"/>
          <w:szCs w:val="22"/>
        </w:rPr>
        <w:t>197.2</w:t>
      </w:r>
      <w:r w:rsidRPr="00885A40">
        <w:rPr>
          <w:sz w:val="22"/>
          <w:szCs w:val="22"/>
        </w:rPr>
        <w:t xml:space="preserve">%), </w:t>
      </w:r>
      <w:r>
        <w:rPr>
          <w:sz w:val="22"/>
          <w:szCs w:val="22"/>
        </w:rPr>
        <w:t>Port Stephens</w:t>
      </w:r>
      <w:r w:rsidRPr="00885A40">
        <w:rPr>
          <w:sz w:val="22"/>
          <w:szCs w:val="22"/>
        </w:rPr>
        <w:t xml:space="preserve"> (1</w:t>
      </w:r>
      <w:r>
        <w:rPr>
          <w:sz w:val="22"/>
          <w:szCs w:val="22"/>
        </w:rPr>
        <w:t>37.0</w:t>
      </w:r>
      <w:r w:rsidRPr="00885A40">
        <w:rPr>
          <w:sz w:val="22"/>
          <w:szCs w:val="22"/>
        </w:rPr>
        <w:t xml:space="preserve">%), </w:t>
      </w:r>
      <w:r>
        <w:rPr>
          <w:sz w:val="22"/>
          <w:szCs w:val="22"/>
        </w:rPr>
        <w:t>Newcastle</w:t>
      </w:r>
      <w:r w:rsidRPr="00885A40">
        <w:rPr>
          <w:sz w:val="22"/>
          <w:szCs w:val="22"/>
        </w:rPr>
        <w:t xml:space="preserve"> (1</w:t>
      </w:r>
      <w:r>
        <w:rPr>
          <w:sz w:val="22"/>
          <w:szCs w:val="22"/>
        </w:rPr>
        <w:t>36.5</w:t>
      </w:r>
      <w:r w:rsidRPr="00885A40">
        <w:rPr>
          <w:sz w:val="22"/>
          <w:szCs w:val="22"/>
        </w:rPr>
        <w:t>%)</w:t>
      </w:r>
      <w:r>
        <w:rPr>
          <w:sz w:val="22"/>
          <w:szCs w:val="22"/>
        </w:rPr>
        <w:t xml:space="preserve"> and</w:t>
      </w:r>
      <w:r w:rsidRPr="00885A40">
        <w:rPr>
          <w:sz w:val="22"/>
          <w:szCs w:val="22"/>
        </w:rPr>
        <w:t xml:space="preserve"> </w:t>
      </w:r>
      <w:r>
        <w:rPr>
          <w:sz w:val="22"/>
          <w:szCs w:val="22"/>
        </w:rPr>
        <w:t>Lake Macquarie</w:t>
      </w:r>
      <w:r w:rsidRPr="00885A40">
        <w:rPr>
          <w:sz w:val="22"/>
          <w:szCs w:val="22"/>
        </w:rPr>
        <w:t xml:space="preserve"> (1</w:t>
      </w:r>
      <w:r>
        <w:rPr>
          <w:sz w:val="22"/>
          <w:szCs w:val="22"/>
        </w:rPr>
        <w:t>34.3</w:t>
      </w:r>
      <w:r w:rsidRPr="00885A40">
        <w:rPr>
          <w:sz w:val="22"/>
          <w:szCs w:val="22"/>
        </w:rPr>
        <w:t>%) had the largest proportional increase in median sales price for houses over this period.</w:t>
      </w:r>
    </w:p>
    <w:p w14:paraId="594B69A5" w14:textId="77777777" w:rsidR="008809DE" w:rsidRPr="00885A40" w:rsidRDefault="008809DE" w:rsidP="008809DE">
      <w:pPr>
        <w:numPr>
          <w:ilvl w:val="0"/>
          <w:numId w:val="5"/>
        </w:numPr>
        <w:spacing w:before="0" w:after="0"/>
        <w:rPr>
          <w:sz w:val="22"/>
          <w:szCs w:val="22"/>
        </w:rPr>
      </w:pPr>
      <w:r w:rsidRPr="00885A40">
        <w:rPr>
          <w:sz w:val="22"/>
          <w:szCs w:val="22"/>
        </w:rPr>
        <w:t xml:space="preserve">For strata properties, </w:t>
      </w:r>
      <w:r>
        <w:rPr>
          <w:sz w:val="22"/>
          <w:szCs w:val="22"/>
        </w:rPr>
        <w:t>Port Stephens</w:t>
      </w:r>
      <w:r w:rsidRPr="00885A40">
        <w:rPr>
          <w:sz w:val="22"/>
          <w:szCs w:val="22"/>
        </w:rPr>
        <w:t xml:space="preserve"> (</w:t>
      </w:r>
      <w:r>
        <w:rPr>
          <w:sz w:val="22"/>
          <w:szCs w:val="22"/>
        </w:rPr>
        <w:t>145.6</w:t>
      </w:r>
      <w:r w:rsidRPr="00885A40">
        <w:rPr>
          <w:sz w:val="22"/>
          <w:szCs w:val="22"/>
        </w:rPr>
        <w:t xml:space="preserve">%) and </w:t>
      </w:r>
      <w:r>
        <w:rPr>
          <w:sz w:val="22"/>
          <w:szCs w:val="22"/>
        </w:rPr>
        <w:t>Newcastle</w:t>
      </w:r>
      <w:r w:rsidRPr="00885A40">
        <w:rPr>
          <w:sz w:val="22"/>
          <w:szCs w:val="22"/>
        </w:rPr>
        <w:t xml:space="preserve"> (1</w:t>
      </w:r>
      <w:r>
        <w:rPr>
          <w:sz w:val="22"/>
          <w:szCs w:val="22"/>
        </w:rPr>
        <w:t>01.2</w:t>
      </w:r>
      <w:r w:rsidRPr="00885A40">
        <w:rPr>
          <w:sz w:val="22"/>
          <w:szCs w:val="22"/>
        </w:rPr>
        <w:t xml:space="preserve">%) had the largest proportional increase in median sales price over the ten year time frame.  </w:t>
      </w:r>
    </w:p>
    <w:p w14:paraId="3D20C764" w14:textId="77777777" w:rsidR="008809DE" w:rsidRPr="00885A40" w:rsidRDefault="008809DE" w:rsidP="008809DE">
      <w:pPr>
        <w:numPr>
          <w:ilvl w:val="0"/>
          <w:numId w:val="5"/>
        </w:numPr>
        <w:spacing w:before="0" w:after="0"/>
        <w:rPr>
          <w:sz w:val="22"/>
          <w:szCs w:val="22"/>
        </w:rPr>
      </w:pPr>
      <w:r w:rsidRPr="00885A40">
        <w:rPr>
          <w:sz w:val="22"/>
          <w:szCs w:val="22"/>
        </w:rPr>
        <w:t>At March 20</w:t>
      </w:r>
      <w:r>
        <w:rPr>
          <w:sz w:val="22"/>
          <w:szCs w:val="22"/>
        </w:rPr>
        <w:t>22</w:t>
      </w:r>
      <w:r w:rsidRPr="00885A40">
        <w:rPr>
          <w:sz w:val="22"/>
          <w:szCs w:val="22"/>
        </w:rPr>
        <w:t xml:space="preserve">, </w:t>
      </w:r>
      <w:r>
        <w:rPr>
          <w:sz w:val="22"/>
          <w:szCs w:val="22"/>
        </w:rPr>
        <w:t>Newcastle</w:t>
      </w:r>
      <w:r w:rsidRPr="00885A40">
        <w:rPr>
          <w:sz w:val="22"/>
          <w:szCs w:val="22"/>
        </w:rPr>
        <w:t xml:space="preserve"> had the highest median sales price for houses with $</w:t>
      </w:r>
      <w:r>
        <w:rPr>
          <w:sz w:val="22"/>
          <w:szCs w:val="22"/>
        </w:rPr>
        <w:t>955</w:t>
      </w:r>
      <w:r w:rsidRPr="00885A40">
        <w:rPr>
          <w:sz w:val="22"/>
          <w:szCs w:val="22"/>
        </w:rPr>
        <w:t>,000, followed by $</w:t>
      </w:r>
      <w:r>
        <w:rPr>
          <w:sz w:val="22"/>
          <w:szCs w:val="22"/>
        </w:rPr>
        <w:t>919</w:t>
      </w:r>
      <w:r w:rsidRPr="00885A40">
        <w:rPr>
          <w:sz w:val="22"/>
          <w:szCs w:val="22"/>
        </w:rPr>
        <w:t xml:space="preserve">,000 in </w:t>
      </w:r>
      <w:r>
        <w:rPr>
          <w:sz w:val="22"/>
          <w:szCs w:val="22"/>
        </w:rPr>
        <w:t>Lake Macquarie</w:t>
      </w:r>
      <w:r w:rsidR="004821FB">
        <w:rPr>
          <w:sz w:val="22"/>
          <w:szCs w:val="22"/>
        </w:rPr>
        <w:t>,</w:t>
      </w:r>
      <w:r>
        <w:rPr>
          <w:sz w:val="22"/>
          <w:szCs w:val="22"/>
        </w:rPr>
        <w:t xml:space="preserve"> </w:t>
      </w:r>
      <w:r w:rsidRPr="00885A40">
        <w:rPr>
          <w:sz w:val="22"/>
          <w:szCs w:val="22"/>
        </w:rPr>
        <w:t>$</w:t>
      </w:r>
      <w:r>
        <w:rPr>
          <w:sz w:val="22"/>
          <w:szCs w:val="22"/>
        </w:rPr>
        <w:t>910</w:t>
      </w:r>
      <w:r w:rsidRPr="00885A40">
        <w:rPr>
          <w:sz w:val="22"/>
          <w:szCs w:val="22"/>
        </w:rPr>
        <w:t xml:space="preserve">,000 in </w:t>
      </w:r>
      <w:r>
        <w:rPr>
          <w:sz w:val="22"/>
          <w:szCs w:val="22"/>
        </w:rPr>
        <w:t>Port Stephens</w:t>
      </w:r>
      <w:r w:rsidR="004821FB">
        <w:rPr>
          <w:sz w:val="22"/>
          <w:szCs w:val="22"/>
        </w:rPr>
        <w:t xml:space="preserve"> and $847,000 in Dungog</w:t>
      </w:r>
      <w:r w:rsidRPr="00885A40">
        <w:rPr>
          <w:sz w:val="22"/>
          <w:szCs w:val="22"/>
        </w:rPr>
        <w:t xml:space="preserve">.  </w:t>
      </w:r>
      <w:r>
        <w:rPr>
          <w:sz w:val="22"/>
          <w:szCs w:val="22"/>
        </w:rPr>
        <w:t>Port Stephens</w:t>
      </w:r>
      <w:r w:rsidRPr="00885A40">
        <w:rPr>
          <w:sz w:val="22"/>
          <w:szCs w:val="22"/>
        </w:rPr>
        <w:t xml:space="preserve"> had the highest median sales price for flats at March 2022 with $</w:t>
      </w:r>
      <w:r>
        <w:rPr>
          <w:sz w:val="22"/>
          <w:szCs w:val="22"/>
        </w:rPr>
        <w:t>415</w:t>
      </w:r>
      <w:r w:rsidRPr="00885A40">
        <w:rPr>
          <w:sz w:val="22"/>
          <w:szCs w:val="22"/>
        </w:rPr>
        <w:t xml:space="preserve">,000, followed by </w:t>
      </w:r>
      <w:r>
        <w:rPr>
          <w:sz w:val="22"/>
          <w:szCs w:val="22"/>
        </w:rPr>
        <w:t>Newcastle</w:t>
      </w:r>
      <w:r w:rsidRPr="00885A40">
        <w:rPr>
          <w:sz w:val="22"/>
          <w:szCs w:val="22"/>
        </w:rPr>
        <w:t xml:space="preserve"> with $</w:t>
      </w:r>
      <w:r>
        <w:rPr>
          <w:sz w:val="22"/>
          <w:szCs w:val="22"/>
        </w:rPr>
        <w:t>339</w:t>
      </w:r>
      <w:r w:rsidRPr="00885A40">
        <w:rPr>
          <w:sz w:val="22"/>
          <w:szCs w:val="22"/>
        </w:rPr>
        <w:t>,000.</w:t>
      </w:r>
    </w:p>
    <w:p w14:paraId="2D8E291C" w14:textId="77777777" w:rsidR="008809DE" w:rsidRPr="00885A40" w:rsidRDefault="008809DE" w:rsidP="008809DE">
      <w:pPr>
        <w:numPr>
          <w:ilvl w:val="0"/>
          <w:numId w:val="5"/>
        </w:numPr>
        <w:spacing w:before="0" w:after="0"/>
        <w:rPr>
          <w:sz w:val="22"/>
          <w:szCs w:val="22"/>
        </w:rPr>
      </w:pPr>
      <w:r w:rsidRPr="00885A40">
        <w:rPr>
          <w:sz w:val="22"/>
          <w:szCs w:val="22"/>
        </w:rPr>
        <w:t xml:space="preserve">The table below shows changes in the median sales price of both houses and flats over the last ten years in the </w:t>
      </w:r>
      <w:r w:rsidR="0049619E">
        <w:rPr>
          <w:sz w:val="22"/>
          <w:szCs w:val="22"/>
        </w:rPr>
        <w:t xml:space="preserve">Hunter </w:t>
      </w:r>
      <w:r w:rsidRPr="00885A40">
        <w:rPr>
          <w:sz w:val="22"/>
          <w:szCs w:val="22"/>
        </w:rPr>
        <w:t>region.</w:t>
      </w:r>
    </w:p>
    <w:p w14:paraId="41CBF296" w14:textId="77777777" w:rsidR="00F51B35" w:rsidRDefault="00F51B35" w:rsidP="00F51B35">
      <w:pPr>
        <w:spacing w:before="0" w:after="0"/>
        <w:jc w:val="both"/>
        <w:rPr>
          <w:sz w:val="22"/>
          <w:szCs w:val="22"/>
        </w:rPr>
      </w:pPr>
    </w:p>
    <w:p w14:paraId="48262F0C" w14:textId="77777777" w:rsidR="00F51B35" w:rsidRDefault="00633894" w:rsidP="00F51B35">
      <w:pPr>
        <w:spacing w:before="0" w:after="0"/>
        <w:jc w:val="both"/>
        <w:rPr>
          <w:sz w:val="22"/>
          <w:szCs w:val="22"/>
        </w:rPr>
      </w:pPr>
      <w:r w:rsidRPr="00633894">
        <w:rPr>
          <w:noProof/>
        </w:rPr>
        <w:lastRenderedPageBreak/>
        <w:drawing>
          <wp:inline distT="0" distB="0" distL="0" distR="0" wp14:anchorId="519A97B2" wp14:editId="32BA5597">
            <wp:extent cx="5274310" cy="2619748"/>
            <wp:effectExtent l="0" t="0" r="254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2619748"/>
                    </a:xfrm>
                    <a:prstGeom prst="rect">
                      <a:avLst/>
                    </a:prstGeom>
                    <a:noFill/>
                    <a:ln>
                      <a:noFill/>
                    </a:ln>
                  </pic:spPr>
                </pic:pic>
              </a:graphicData>
            </a:graphic>
          </wp:inline>
        </w:drawing>
      </w:r>
    </w:p>
    <w:p w14:paraId="7BE7AEEE" w14:textId="77777777" w:rsidR="00633894" w:rsidRDefault="00633894" w:rsidP="00F51B35">
      <w:pPr>
        <w:spacing w:before="0" w:after="0"/>
        <w:jc w:val="both"/>
        <w:rPr>
          <w:sz w:val="22"/>
          <w:szCs w:val="22"/>
        </w:rPr>
      </w:pPr>
    </w:p>
    <w:p w14:paraId="022EDCEC" w14:textId="77777777" w:rsidR="00880FAF" w:rsidRPr="007A105F" w:rsidRDefault="00880FAF" w:rsidP="00880FAF">
      <w:pPr>
        <w:numPr>
          <w:ilvl w:val="0"/>
          <w:numId w:val="19"/>
        </w:numPr>
        <w:spacing w:before="0" w:after="0"/>
        <w:rPr>
          <w:sz w:val="22"/>
          <w:szCs w:val="22"/>
        </w:rPr>
      </w:pPr>
      <w:r w:rsidRPr="00255D52">
        <w:rPr>
          <w:sz w:val="22"/>
          <w:szCs w:val="22"/>
        </w:rPr>
        <w:t xml:space="preserve">The long term median sales price trend for houses and flats shows growth across all LGAs, particularly from around 2002.  </w:t>
      </w:r>
      <w:r w:rsidRPr="007A105F">
        <w:rPr>
          <w:sz w:val="22"/>
          <w:szCs w:val="22"/>
        </w:rPr>
        <w:t>The long term trend for strata properties is similar.</w:t>
      </w:r>
    </w:p>
    <w:p w14:paraId="5ADDF1F8" w14:textId="77777777" w:rsidR="00880FAF" w:rsidRPr="00255D52" w:rsidRDefault="00880FAF" w:rsidP="00880FAF">
      <w:pPr>
        <w:numPr>
          <w:ilvl w:val="0"/>
          <w:numId w:val="5"/>
        </w:numPr>
        <w:spacing w:before="0" w:after="0"/>
        <w:rPr>
          <w:sz w:val="22"/>
          <w:szCs w:val="22"/>
        </w:rPr>
      </w:pPr>
      <w:r w:rsidRPr="00255D52">
        <w:rPr>
          <w:sz w:val="22"/>
          <w:szCs w:val="22"/>
        </w:rPr>
        <w:t>The two graphs below show the median sales price trend for houses and for st</w:t>
      </w:r>
      <w:r>
        <w:rPr>
          <w:sz w:val="22"/>
          <w:szCs w:val="22"/>
        </w:rPr>
        <w:t>rata properties from 1991 to 2022</w:t>
      </w:r>
      <w:r w:rsidRPr="00255D52">
        <w:rPr>
          <w:sz w:val="22"/>
          <w:szCs w:val="22"/>
        </w:rPr>
        <w:t xml:space="preserve"> in all </w:t>
      </w:r>
      <w:r>
        <w:rPr>
          <w:sz w:val="22"/>
          <w:szCs w:val="22"/>
        </w:rPr>
        <w:t>Hunter LGAs.  It</w:t>
      </w:r>
      <w:r w:rsidRPr="00255D52">
        <w:rPr>
          <w:sz w:val="22"/>
          <w:szCs w:val="22"/>
        </w:rPr>
        <w:t xml:space="preserve"> is clear that the median</w:t>
      </w:r>
      <w:r>
        <w:rPr>
          <w:sz w:val="22"/>
          <w:szCs w:val="22"/>
        </w:rPr>
        <w:t xml:space="preserve"> sales prices are highest in Newcastle, Lake Macquarie and Port Stephens</w:t>
      </w:r>
      <w:r w:rsidRPr="00255D52">
        <w:rPr>
          <w:sz w:val="22"/>
          <w:szCs w:val="22"/>
        </w:rPr>
        <w:t>.</w:t>
      </w:r>
    </w:p>
    <w:p w14:paraId="0F98A5B2" w14:textId="77777777" w:rsidR="00880FAF" w:rsidRDefault="00880FAF" w:rsidP="00F51B35">
      <w:pPr>
        <w:spacing w:before="0" w:after="0"/>
        <w:jc w:val="both"/>
        <w:rPr>
          <w:sz w:val="22"/>
          <w:szCs w:val="22"/>
        </w:rPr>
      </w:pPr>
    </w:p>
    <w:p w14:paraId="6E1945AC" w14:textId="77777777" w:rsidR="00880FAF" w:rsidRDefault="00880FAF" w:rsidP="00F51B35">
      <w:pPr>
        <w:spacing w:before="0" w:after="0"/>
        <w:jc w:val="both"/>
        <w:rPr>
          <w:sz w:val="22"/>
          <w:szCs w:val="22"/>
        </w:rPr>
      </w:pPr>
      <w:r>
        <w:rPr>
          <w:noProof/>
          <w:sz w:val="22"/>
          <w:szCs w:val="22"/>
        </w:rPr>
        <w:drawing>
          <wp:inline distT="0" distB="0" distL="0" distR="0" wp14:anchorId="31725819" wp14:editId="0AAA938C">
            <wp:extent cx="6132830" cy="2700655"/>
            <wp:effectExtent l="0" t="0" r="127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32830" cy="2700655"/>
                    </a:xfrm>
                    <a:prstGeom prst="rect">
                      <a:avLst/>
                    </a:prstGeom>
                    <a:noFill/>
                  </pic:spPr>
                </pic:pic>
              </a:graphicData>
            </a:graphic>
          </wp:inline>
        </w:drawing>
      </w:r>
    </w:p>
    <w:p w14:paraId="5A92D789" w14:textId="77777777" w:rsidR="00880FAF" w:rsidRDefault="00880FAF" w:rsidP="00F51B35">
      <w:pPr>
        <w:spacing w:before="0" w:after="0"/>
        <w:jc w:val="both"/>
        <w:rPr>
          <w:sz w:val="22"/>
          <w:szCs w:val="22"/>
        </w:rPr>
      </w:pPr>
    </w:p>
    <w:p w14:paraId="4E638CF1" w14:textId="77777777" w:rsidR="00880FAF" w:rsidRDefault="00880FAF" w:rsidP="00F51B35">
      <w:pPr>
        <w:spacing w:before="0" w:after="0"/>
        <w:jc w:val="both"/>
        <w:rPr>
          <w:sz w:val="22"/>
          <w:szCs w:val="22"/>
        </w:rPr>
      </w:pPr>
    </w:p>
    <w:p w14:paraId="5C22E226" w14:textId="77777777" w:rsidR="00880FAF" w:rsidRDefault="00880FAF" w:rsidP="00F51B35">
      <w:pPr>
        <w:spacing w:before="0" w:after="0"/>
        <w:jc w:val="both"/>
        <w:rPr>
          <w:sz w:val="22"/>
          <w:szCs w:val="22"/>
        </w:rPr>
      </w:pPr>
    </w:p>
    <w:p w14:paraId="414ABB86" w14:textId="77777777" w:rsidR="00880FAF" w:rsidRDefault="00880FAF" w:rsidP="00F51B35">
      <w:pPr>
        <w:spacing w:before="0" w:after="0"/>
        <w:jc w:val="both"/>
        <w:rPr>
          <w:sz w:val="22"/>
          <w:szCs w:val="22"/>
        </w:rPr>
      </w:pPr>
      <w:r>
        <w:rPr>
          <w:noProof/>
          <w:sz w:val="22"/>
          <w:szCs w:val="22"/>
        </w:rPr>
        <w:lastRenderedPageBreak/>
        <w:drawing>
          <wp:inline distT="0" distB="0" distL="0" distR="0" wp14:anchorId="4CEB1AE1" wp14:editId="72730C57">
            <wp:extent cx="6139180" cy="27127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39180" cy="2712720"/>
                    </a:xfrm>
                    <a:prstGeom prst="rect">
                      <a:avLst/>
                    </a:prstGeom>
                    <a:noFill/>
                  </pic:spPr>
                </pic:pic>
              </a:graphicData>
            </a:graphic>
          </wp:inline>
        </w:drawing>
      </w:r>
    </w:p>
    <w:p w14:paraId="6B08D6D9" w14:textId="77777777" w:rsidR="00880FAF" w:rsidRDefault="00880FAF" w:rsidP="00F51B35">
      <w:pPr>
        <w:spacing w:before="0" w:after="0"/>
        <w:jc w:val="both"/>
        <w:rPr>
          <w:sz w:val="22"/>
          <w:szCs w:val="22"/>
        </w:rPr>
      </w:pPr>
    </w:p>
    <w:p w14:paraId="4D27347F" w14:textId="77777777" w:rsidR="00D37E78" w:rsidRPr="00FD1F98" w:rsidRDefault="00D37E78" w:rsidP="00342A55">
      <w:pPr>
        <w:pStyle w:val="ListParagraph"/>
        <w:numPr>
          <w:ilvl w:val="0"/>
          <w:numId w:val="17"/>
        </w:numPr>
        <w:rPr>
          <w:sz w:val="20"/>
          <w:szCs w:val="20"/>
        </w:rPr>
      </w:pPr>
      <w:r w:rsidRPr="00FD1F98">
        <w:rPr>
          <w:sz w:val="22"/>
          <w:szCs w:val="22"/>
        </w:rPr>
        <w:t>However, between 2019 and 2022 there were more complex changes in the market, as the two tables below demonstrate</w:t>
      </w:r>
      <w:r w:rsidR="00880FAF">
        <w:rPr>
          <w:sz w:val="22"/>
          <w:szCs w:val="22"/>
        </w:rPr>
        <w:t>.</w:t>
      </w:r>
      <w:r w:rsidR="00FD1F98">
        <w:rPr>
          <w:sz w:val="22"/>
          <w:szCs w:val="22"/>
        </w:rPr>
        <w:t xml:space="preserve">  B</w:t>
      </w:r>
      <w:r w:rsidRPr="00FD1F98">
        <w:rPr>
          <w:sz w:val="22"/>
          <w:szCs w:val="22"/>
        </w:rPr>
        <w:t>etween March 2019 and 2020 median house and strata prices experienced relatively low growth</w:t>
      </w:r>
      <w:r w:rsidR="00FD71B0" w:rsidRPr="00FD1F98">
        <w:rPr>
          <w:sz w:val="22"/>
          <w:szCs w:val="22"/>
        </w:rPr>
        <w:t xml:space="preserve"> in most Hunter LGAs</w:t>
      </w:r>
      <w:r w:rsidRPr="00FD1F98">
        <w:rPr>
          <w:sz w:val="22"/>
          <w:szCs w:val="22"/>
        </w:rPr>
        <w:t xml:space="preserve">, with </w:t>
      </w:r>
      <w:r w:rsidR="00FD71B0" w:rsidRPr="00FD1F98">
        <w:rPr>
          <w:sz w:val="22"/>
          <w:szCs w:val="22"/>
        </w:rPr>
        <w:t>Cessnock and Muswellbrook a</w:t>
      </w:r>
      <w:r w:rsidRPr="00FD1F98">
        <w:rPr>
          <w:sz w:val="22"/>
          <w:szCs w:val="22"/>
        </w:rPr>
        <w:t xml:space="preserve">ctually seeing a fall in median house prices over that year.  </w:t>
      </w:r>
      <w:r w:rsidR="009701EB">
        <w:rPr>
          <w:sz w:val="22"/>
          <w:szCs w:val="22"/>
        </w:rPr>
        <w:t>Changes in median sales price</w:t>
      </w:r>
      <w:r w:rsidR="00FD71B0" w:rsidRPr="00FD1F98">
        <w:rPr>
          <w:sz w:val="22"/>
          <w:szCs w:val="22"/>
        </w:rPr>
        <w:t xml:space="preserve"> for houses ranged between -3.1</w:t>
      </w:r>
      <w:r w:rsidRPr="00FD1F98">
        <w:rPr>
          <w:sz w:val="22"/>
          <w:szCs w:val="22"/>
        </w:rPr>
        <w:t xml:space="preserve">% in </w:t>
      </w:r>
      <w:r w:rsidR="00FD71B0" w:rsidRPr="00FD1F98">
        <w:rPr>
          <w:sz w:val="22"/>
          <w:szCs w:val="22"/>
        </w:rPr>
        <w:t>Muswellbrook</w:t>
      </w:r>
      <w:r w:rsidRPr="00FD1F98">
        <w:rPr>
          <w:sz w:val="22"/>
          <w:szCs w:val="22"/>
        </w:rPr>
        <w:t xml:space="preserve"> and 15.</w:t>
      </w:r>
      <w:r w:rsidR="00FD71B0" w:rsidRPr="00FD1F98">
        <w:rPr>
          <w:sz w:val="22"/>
          <w:szCs w:val="22"/>
        </w:rPr>
        <w:t>4</w:t>
      </w:r>
      <w:r w:rsidRPr="00FD1F98">
        <w:rPr>
          <w:sz w:val="22"/>
          <w:szCs w:val="22"/>
        </w:rPr>
        <w:t xml:space="preserve">% in </w:t>
      </w:r>
      <w:r w:rsidR="00FD71B0" w:rsidRPr="00FD1F98">
        <w:rPr>
          <w:sz w:val="22"/>
          <w:szCs w:val="22"/>
        </w:rPr>
        <w:t>Upper Hunter</w:t>
      </w:r>
      <w:r w:rsidRPr="00FD1F98">
        <w:rPr>
          <w:sz w:val="22"/>
          <w:szCs w:val="22"/>
        </w:rPr>
        <w:t xml:space="preserve">, while for strata the </w:t>
      </w:r>
      <w:r w:rsidR="009701EB">
        <w:rPr>
          <w:sz w:val="22"/>
          <w:szCs w:val="22"/>
        </w:rPr>
        <w:t xml:space="preserve">change in the </w:t>
      </w:r>
      <w:r w:rsidRPr="00FD1F98">
        <w:rPr>
          <w:sz w:val="22"/>
          <w:szCs w:val="22"/>
        </w:rPr>
        <w:t xml:space="preserve">median ranged between </w:t>
      </w:r>
      <w:r w:rsidR="00FD71B0" w:rsidRPr="00FD1F98">
        <w:rPr>
          <w:sz w:val="22"/>
          <w:szCs w:val="22"/>
        </w:rPr>
        <w:t>-</w:t>
      </w:r>
      <w:r w:rsidRPr="00FD1F98">
        <w:rPr>
          <w:sz w:val="22"/>
          <w:szCs w:val="22"/>
        </w:rPr>
        <w:t>2.</w:t>
      </w:r>
      <w:r w:rsidR="00FD71B0" w:rsidRPr="00FD1F98">
        <w:rPr>
          <w:sz w:val="22"/>
          <w:szCs w:val="22"/>
        </w:rPr>
        <w:t>1</w:t>
      </w:r>
      <w:r w:rsidRPr="00FD1F98">
        <w:rPr>
          <w:sz w:val="22"/>
          <w:szCs w:val="22"/>
        </w:rPr>
        <w:t xml:space="preserve">% in </w:t>
      </w:r>
      <w:r w:rsidR="00FD71B0" w:rsidRPr="00FD1F98">
        <w:rPr>
          <w:sz w:val="22"/>
          <w:szCs w:val="22"/>
        </w:rPr>
        <w:t>Port Stephens</w:t>
      </w:r>
      <w:r w:rsidRPr="00FD1F98">
        <w:rPr>
          <w:sz w:val="22"/>
          <w:szCs w:val="22"/>
        </w:rPr>
        <w:t xml:space="preserve"> and </w:t>
      </w:r>
      <w:r w:rsidR="00FD71B0" w:rsidRPr="00FD1F98">
        <w:rPr>
          <w:sz w:val="22"/>
          <w:szCs w:val="22"/>
        </w:rPr>
        <w:t>7.3</w:t>
      </w:r>
      <w:r w:rsidRPr="00FD1F98">
        <w:rPr>
          <w:sz w:val="22"/>
          <w:szCs w:val="22"/>
        </w:rPr>
        <w:t xml:space="preserve">% in </w:t>
      </w:r>
      <w:r w:rsidR="00FD71B0" w:rsidRPr="00FD1F98">
        <w:rPr>
          <w:sz w:val="22"/>
          <w:szCs w:val="22"/>
        </w:rPr>
        <w:t>Lake</w:t>
      </w:r>
      <w:r w:rsidRPr="00FD1F98">
        <w:rPr>
          <w:sz w:val="22"/>
          <w:szCs w:val="22"/>
        </w:rPr>
        <w:t xml:space="preserve"> </w:t>
      </w:r>
      <w:r w:rsidR="00FD71B0" w:rsidRPr="00FD1F98">
        <w:rPr>
          <w:sz w:val="22"/>
          <w:szCs w:val="22"/>
        </w:rPr>
        <w:t>Macquarie</w:t>
      </w:r>
      <w:r w:rsidRPr="00FD1F98">
        <w:rPr>
          <w:sz w:val="22"/>
          <w:szCs w:val="22"/>
        </w:rPr>
        <w:t>.</w:t>
      </w:r>
    </w:p>
    <w:p w14:paraId="7415DB1A" w14:textId="77777777" w:rsidR="00D37E78" w:rsidRPr="00880FAF" w:rsidRDefault="00D37E78" w:rsidP="00D37E78">
      <w:pPr>
        <w:pStyle w:val="ListParagraph"/>
        <w:numPr>
          <w:ilvl w:val="0"/>
          <w:numId w:val="17"/>
        </w:numPr>
        <w:rPr>
          <w:sz w:val="20"/>
          <w:szCs w:val="20"/>
        </w:rPr>
      </w:pPr>
      <w:r>
        <w:rPr>
          <w:sz w:val="22"/>
          <w:szCs w:val="22"/>
        </w:rPr>
        <w:t>Between March 2021 and March 2022 there was strong growth in median house and strata prices</w:t>
      </w:r>
      <w:r w:rsidR="00FD71B0">
        <w:rPr>
          <w:sz w:val="22"/>
          <w:szCs w:val="22"/>
        </w:rPr>
        <w:t xml:space="preserve"> across the Hunter</w:t>
      </w:r>
      <w:r>
        <w:rPr>
          <w:sz w:val="22"/>
          <w:szCs w:val="22"/>
        </w:rPr>
        <w:t xml:space="preserve">. Increases in the median sales price for houses ranged between </w:t>
      </w:r>
      <w:r w:rsidR="00FD71B0">
        <w:rPr>
          <w:sz w:val="22"/>
          <w:szCs w:val="22"/>
        </w:rPr>
        <w:t>39.1</w:t>
      </w:r>
      <w:r>
        <w:rPr>
          <w:sz w:val="22"/>
          <w:szCs w:val="22"/>
        </w:rPr>
        <w:t xml:space="preserve">% in </w:t>
      </w:r>
      <w:r w:rsidR="00FD71B0">
        <w:rPr>
          <w:sz w:val="22"/>
          <w:szCs w:val="22"/>
        </w:rPr>
        <w:t>Port Stephens</w:t>
      </w:r>
      <w:r>
        <w:rPr>
          <w:sz w:val="22"/>
          <w:szCs w:val="22"/>
        </w:rPr>
        <w:t xml:space="preserve"> and </w:t>
      </w:r>
      <w:r w:rsidR="00FD71B0">
        <w:rPr>
          <w:sz w:val="22"/>
          <w:szCs w:val="22"/>
        </w:rPr>
        <w:t>19.2</w:t>
      </w:r>
      <w:r>
        <w:rPr>
          <w:sz w:val="22"/>
          <w:szCs w:val="22"/>
        </w:rPr>
        <w:t xml:space="preserve">% in </w:t>
      </w:r>
      <w:r w:rsidR="00FD71B0">
        <w:rPr>
          <w:sz w:val="22"/>
          <w:szCs w:val="22"/>
        </w:rPr>
        <w:t xml:space="preserve">Muswellbrook.  </w:t>
      </w:r>
      <w:r>
        <w:rPr>
          <w:sz w:val="22"/>
          <w:szCs w:val="22"/>
        </w:rPr>
        <w:t xml:space="preserve"> </w:t>
      </w:r>
      <w:r w:rsidR="00FD71B0">
        <w:rPr>
          <w:sz w:val="22"/>
          <w:szCs w:val="22"/>
        </w:rPr>
        <w:t>F</w:t>
      </w:r>
      <w:r>
        <w:rPr>
          <w:sz w:val="22"/>
          <w:szCs w:val="22"/>
        </w:rPr>
        <w:t>or strata</w:t>
      </w:r>
      <w:r w:rsidR="00FD71B0">
        <w:rPr>
          <w:sz w:val="22"/>
          <w:szCs w:val="22"/>
        </w:rPr>
        <w:t xml:space="preserve"> over the same period, increases ranged</w:t>
      </w:r>
      <w:r>
        <w:rPr>
          <w:sz w:val="22"/>
          <w:szCs w:val="22"/>
        </w:rPr>
        <w:t xml:space="preserve"> between </w:t>
      </w:r>
      <w:r w:rsidR="00FD1F98">
        <w:rPr>
          <w:sz w:val="22"/>
          <w:szCs w:val="22"/>
        </w:rPr>
        <w:t>47.7</w:t>
      </w:r>
      <w:r>
        <w:rPr>
          <w:sz w:val="22"/>
          <w:szCs w:val="22"/>
        </w:rPr>
        <w:t xml:space="preserve">% in </w:t>
      </w:r>
      <w:r w:rsidR="00FD1F98">
        <w:rPr>
          <w:sz w:val="22"/>
          <w:szCs w:val="22"/>
        </w:rPr>
        <w:t>Port Stephens and 14.0</w:t>
      </w:r>
      <w:r>
        <w:rPr>
          <w:sz w:val="22"/>
          <w:szCs w:val="22"/>
        </w:rPr>
        <w:t xml:space="preserve">% in </w:t>
      </w:r>
      <w:r w:rsidR="00FD1F98">
        <w:rPr>
          <w:sz w:val="22"/>
          <w:szCs w:val="22"/>
        </w:rPr>
        <w:t>Newcastle</w:t>
      </w:r>
      <w:r>
        <w:rPr>
          <w:sz w:val="22"/>
          <w:szCs w:val="22"/>
        </w:rPr>
        <w:t>.</w:t>
      </w:r>
    </w:p>
    <w:p w14:paraId="05837507" w14:textId="77777777" w:rsidR="00880FAF" w:rsidRPr="00EC1F46" w:rsidRDefault="00880FAF" w:rsidP="00D37E78">
      <w:pPr>
        <w:pStyle w:val="ListParagraph"/>
        <w:numPr>
          <w:ilvl w:val="0"/>
          <w:numId w:val="17"/>
        </w:numPr>
        <w:rPr>
          <w:sz w:val="20"/>
          <w:szCs w:val="20"/>
        </w:rPr>
      </w:pPr>
      <w:r>
        <w:rPr>
          <w:sz w:val="22"/>
          <w:szCs w:val="22"/>
        </w:rPr>
        <w:t>Clearly Covid also had an impact on sales prices in the region.</w:t>
      </w:r>
    </w:p>
    <w:p w14:paraId="1F2D3555" w14:textId="77777777" w:rsidR="00633894" w:rsidRPr="0049619E" w:rsidRDefault="00633894" w:rsidP="00FD1F98">
      <w:pPr>
        <w:pStyle w:val="ListParagraph"/>
        <w:spacing w:before="0" w:after="0"/>
        <w:ind w:left="360"/>
        <w:jc w:val="both"/>
        <w:rPr>
          <w:sz w:val="22"/>
          <w:szCs w:val="22"/>
        </w:rPr>
      </w:pPr>
    </w:p>
    <w:p w14:paraId="2463C2AA" w14:textId="77777777" w:rsidR="0049619E" w:rsidRDefault="0049619E" w:rsidP="00F51B35">
      <w:pPr>
        <w:spacing w:before="0" w:after="0"/>
        <w:jc w:val="both"/>
        <w:rPr>
          <w:sz w:val="22"/>
          <w:szCs w:val="22"/>
        </w:rPr>
      </w:pPr>
    </w:p>
    <w:p w14:paraId="222FC3DC" w14:textId="77777777" w:rsidR="00633894" w:rsidRDefault="00FD71B0" w:rsidP="00F51B35">
      <w:pPr>
        <w:spacing w:before="0" w:after="0"/>
        <w:jc w:val="both"/>
        <w:rPr>
          <w:sz w:val="22"/>
          <w:szCs w:val="22"/>
        </w:rPr>
      </w:pPr>
      <w:r w:rsidRPr="00FD71B0">
        <w:rPr>
          <w:noProof/>
        </w:rPr>
        <w:drawing>
          <wp:inline distT="0" distB="0" distL="0" distR="0" wp14:anchorId="42AD674E" wp14:editId="1161055D">
            <wp:extent cx="5274310" cy="1923469"/>
            <wp:effectExtent l="0" t="0" r="254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4310" cy="1923469"/>
                    </a:xfrm>
                    <a:prstGeom prst="rect">
                      <a:avLst/>
                    </a:prstGeom>
                    <a:noFill/>
                    <a:ln>
                      <a:noFill/>
                    </a:ln>
                  </pic:spPr>
                </pic:pic>
              </a:graphicData>
            </a:graphic>
          </wp:inline>
        </w:drawing>
      </w:r>
    </w:p>
    <w:p w14:paraId="1D798912" w14:textId="77777777" w:rsidR="00633894" w:rsidRDefault="00633894" w:rsidP="00F51B35">
      <w:pPr>
        <w:spacing w:before="0" w:after="0"/>
        <w:jc w:val="both"/>
        <w:rPr>
          <w:sz w:val="22"/>
          <w:szCs w:val="22"/>
        </w:rPr>
      </w:pPr>
    </w:p>
    <w:p w14:paraId="5A8C2937" w14:textId="77777777" w:rsidR="00633894" w:rsidRPr="00D94ED9" w:rsidRDefault="00D94ED9" w:rsidP="00D94ED9">
      <w:pPr>
        <w:pStyle w:val="ListParagraph"/>
        <w:numPr>
          <w:ilvl w:val="0"/>
          <w:numId w:val="23"/>
        </w:numPr>
        <w:spacing w:before="0" w:after="0"/>
        <w:jc w:val="both"/>
        <w:rPr>
          <w:sz w:val="22"/>
          <w:szCs w:val="22"/>
        </w:rPr>
      </w:pPr>
      <w:r>
        <w:rPr>
          <w:sz w:val="22"/>
          <w:szCs w:val="22"/>
        </w:rPr>
        <w:t>At March 2022, median sales price for houses ranged between $423,000 in Muswellbrook and $955,000 in Newcastle, while for strata properties, the median sales price ranged between $425,000 in Cessnock and $700,000 in Port Stephens.</w:t>
      </w:r>
    </w:p>
    <w:p w14:paraId="4E160D3A" w14:textId="77777777" w:rsidR="00633894" w:rsidRDefault="00FD71B0" w:rsidP="00F51B35">
      <w:pPr>
        <w:spacing w:before="0" w:after="0"/>
        <w:jc w:val="both"/>
        <w:rPr>
          <w:sz w:val="22"/>
          <w:szCs w:val="22"/>
        </w:rPr>
      </w:pPr>
      <w:r w:rsidRPr="00FD71B0">
        <w:rPr>
          <w:noProof/>
        </w:rPr>
        <w:lastRenderedPageBreak/>
        <w:drawing>
          <wp:inline distT="0" distB="0" distL="0" distR="0" wp14:anchorId="52177516" wp14:editId="68F39E96">
            <wp:extent cx="5274310" cy="1401261"/>
            <wp:effectExtent l="0" t="0" r="254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4310" cy="1401261"/>
                    </a:xfrm>
                    <a:prstGeom prst="rect">
                      <a:avLst/>
                    </a:prstGeom>
                    <a:noFill/>
                    <a:ln>
                      <a:noFill/>
                    </a:ln>
                  </pic:spPr>
                </pic:pic>
              </a:graphicData>
            </a:graphic>
          </wp:inline>
        </w:drawing>
      </w:r>
    </w:p>
    <w:p w14:paraId="3F0659A4" w14:textId="77777777" w:rsidR="00633894" w:rsidRDefault="00633894" w:rsidP="00F51B35">
      <w:pPr>
        <w:spacing w:before="0" w:after="0"/>
        <w:jc w:val="both"/>
        <w:rPr>
          <w:sz w:val="22"/>
          <w:szCs w:val="22"/>
        </w:rPr>
      </w:pPr>
    </w:p>
    <w:p w14:paraId="71A9ADCF" w14:textId="77777777" w:rsidR="00FD10D6" w:rsidRDefault="00FD10D6" w:rsidP="00F51B35">
      <w:pPr>
        <w:spacing w:before="0" w:after="0"/>
        <w:jc w:val="both"/>
        <w:rPr>
          <w:sz w:val="22"/>
          <w:szCs w:val="22"/>
        </w:rPr>
      </w:pPr>
    </w:p>
    <w:p w14:paraId="157DD81C" w14:textId="77777777" w:rsidR="00633894" w:rsidRDefault="00633894" w:rsidP="00F51B35">
      <w:pPr>
        <w:spacing w:before="0" w:after="0"/>
        <w:jc w:val="both"/>
        <w:rPr>
          <w:sz w:val="22"/>
          <w:szCs w:val="22"/>
        </w:rPr>
      </w:pPr>
    </w:p>
    <w:p w14:paraId="17D87208" w14:textId="77777777" w:rsidR="00E1656E" w:rsidRPr="00E1068C" w:rsidRDefault="00E1656E" w:rsidP="00E1656E">
      <w:pPr>
        <w:jc w:val="both"/>
        <w:rPr>
          <w:b/>
          <w:color w:val="008000"/>
          <w:sz w:val="32"/>
        </w:rPr>
      </w:pPr>
      <w:r w:rsidRPr="00E1068C">
        <w:rPr>
          <w:b/>
          <w:color w:val="008000"/>
          <w:sz w:val="32"/>
        </w:rPr>
        <w:t>Purchase Affordability</w:t>
      </w:r>
    </w:p>
    <w:p w14:paraId="659B57CC" w14:textId="77777777" w:rsidR="00443BE5" w:rsidRPr="009F4C12" w:rsidRDefault="00443BE5" w:rsidP="00021EC1">
      <w:pPr>
        <w:numPr>
          <w:ilvl w:val="0"/>
          <w:numId w:val="6"/>
        </w:numPr>
        <w:spacing w:before="0" w:after="0"/>
        <w:jc w:val="both"/>
        <w:rPr>
          <w:sz w:val="22"/>
          <w:szCs w:val="22"/>
        </w:rPr>
      </w:pPr>
      <w:r w:rsidRPr="009F4C12">
        <w:rPr>
          <w:sz w:val="22"/>
          <w:szCs w:val="22"/>
        </w:rPr>
        <w:t>Purchase affordability for very low income earners has varied over the period from 20</w:t>
      </w:r>
      <w:r w:rsidR="009F4C12" w:rsidRPr="009F4C12">
        <w:rPr>
          <w:sz w:val="22"/>
          <w:szCs w:val="22"/>
        </w:rPr>
        <w:t>17</w:t>
      </w:r>
      <w:r w:rsidRPr="009F4C12">
        <w:rPr>
          <w:sz w:val="22"/>
          <w:szCs w:val="22"/>
        </w:rPr>
        <w:t xml:space="preserve"> to 2021 in the Rest of NSW</w:t>
      </w:r>
      <w:r w:rsidR="009F4C12" w:rsidRPr="009F4C12">
        <w:rPr>
          <w:sz w:val="22"/>
          <w:szCs w:val="22"/>
        </w:rPr>
        <w:t xml:space="preserve"> and the Hunter generally.  </w:t>
      </w:r>
      <w:r w:rsidRPr="009F4C12">
        <w:rPr>
          <w:sz w:val="22"/>
          <w:szCs w:val="22"/>
        </w:rPr>
        <w:t xml:space="preserve"> </w:t>
      </w:r>
    </w:p>
    <w:p w14:paraId="13842479" w14:textId="77777777" w:rsidR="00443BE5" w:rsidRDefault="00443BE5" w:rsidP="00443BE5">
      <w:pPr>
        <w:numPr>
          <w:ilvl w:val="0"/>
          <w:numId w:val="6"/>
        </w:numPr>
        <w:spacing w:before="0" w:after="0"/>
        <w:jc w:val="both"/>
        <w:rPr>
          <w:sz w:val="22"/>
          <w:szCs w:val="22"/>
        </w:rPr>
      </w:pPr>
      <w:r>
        <w:rPr>
          <w:sz w:val="22"/>
          <w:szCs w:val="22"/>
        </w:rPr>
        <w:t xml:space="preserve">At June 2021, all the </w:t>
      </w:r>
      <w:r w:rsidR="002D2210">
        <w:rPr>
          <w:sz w:val="22"/>
          <w:szCs w:val="22"/>
        </w:rPr>
        <w:t xml:space="preserve">Hunter </w:t>
      </w:r>
      <w:r>
        <w:rPr>
          <w:sz w:val="22"/>
          <w:szCs w:val="22"/>
        </w:rPr>
        <w:t xml:space="preserve">LGAs, with the exception of </w:t>
      </w:r>
      <w:r w:rsidR="002D2210">
        <w:rPr>
          <w:sz w:val="22"/>
          <w:szCs w:val="22"/>
        </w:rPr>
        <w:t>Upper Hunter and Muswellbrook</w:t>
      </w:r>
      <w:r>
        <w:rPr>
          <w:sz w:val="22"/>
          <w:szCs w:val="22"/>
        </w:rPr>
        <w:t>, had a lower proportion of affordable purchase for very low income households than the average for the Rest of NSW of 7.5%</w:t>
      </w:r>
      <w:r w:rsidR="009F4C12">
        <w:rPr>
          <w:sz w:val="22"/>
          <w:szCs w:val="22"/>
        </w:rPr>
        <w:t>.</w:t>
      </w:r>
    </w:p>
    <w:p w14:paraId="4F77F6FF" w14:textId="77777777" w:rsidR="00D430F9" w:rsidRDefault="00D430F9" w:rsidP="00443BE5">
      <w:pPr>
        <w:numPr>
          <w:ilvl w:val="0"/>
          <w:numId w:val="6"/>
        </w:numPr>
        <w:spacing w:before="0" w:after="0"/>
        <w:jc w:val="both"/>
        <w:rPr>
          <w:sz w:val="22"/>
          <w:szCs w:val="22"/>
        </w:rPr>
      </w:pPr>
      <w:r>
        <w:rPr>
          <w:sz w:val="22"/>
          <w:szCs w:val="22"/>
        </w:rPr>
        <w:t>Dungog, Lake Macquarie, Maitland, Newcastle and Port Stephens all had no sales affordable for purchase by very low income households at June 2021.</w:t>
      </w:r>
    </w:p>
    <w:p w14:paraId="484B6197" w14:textId="77777777" w:rsidR="009F4C12" w:rsidRDefault="009F4C12" w:rsidP="00443BE5">
      <w:pPr>
        <w:numPr>
          <w:ilvl w:val="0"/>
          <w:numId w:val="6"/>
        </w:numPr>
        <w:spacing w:before="0" w:after="0"/>
        <w:jc w:val="both"/>
        <w:rPr>
          <w:sz w:val="22"/>
          <w:szCs w:val="22"/>
        </w:rPr>
      </w:pPr>
      <w:r>
        <w:rPr>
          <w:sz w:val="22"/>
          <w:szCs w:val="22"/>
        </w:rPr>
        <w:t>Upper Hunter is the only LGA in the region to have a higher proportion of sales affordable for purchase by very low income households in 2021 than in 2017.  All other Hunter LGAs have seen a decline in purchase affordability for very low income households over this period.</w:t>
      </w:r>
    </w:p>
    <w:p w14:paraId="0EEBA63D" w14:textId="77777777" w:rsidR="00443BE5" w:rsidRPr="00EC3534" w:rsidRDefault="00443BE5" w:rsidP="00443BE5">
      <w:pPr>
        <w:numPr>
          <w:ilvl w:val="0"/>
          <w:numId w:val="6"/>
        </w:numPr>
        <w:spacing w:before="0" w:after="0"/>
        <w:jc w:val="both"/>
        <w:rPr>
          <w:sz w:val="22"/>
          <w:szCs w:val="22"/>
        </w:rPr>
      </w:pPr>
      <w:r w:rsidRPr="00EC3534">
        <w:rPr>
          <w:sz w:val="22"/>
          <w:szCs w:val="22"/>
        </w:rPr>
        <w:t>Th</w:t>
      </w:r>
      <w:r>
        <w:rPr>
          <w:sz w:val="22"/>
          <w:szCs w:val="22"/>
        </w:rPr>
        <w:t>e</w:t>
      </w:r>
      <w:r w:rsidRPr="00EC3534">
        <w:rPr>
          <w:sz w:val="22"/>
          <w:szCs w:val="22"/>
        </w:rPr>
        <w:t xml:space="preserve"> graph </w:t>
      </w:r>
      <w:r>
        <w:rPr>
          <w:sz w:val="22"/>
          <w:szCs w:val="22"/>
        </w:rPr>
        <w:t xml:space="preserve">and table below </w:t>
      </w:r>
      <w:r w:rsidRPr="00EC3534">
        <w:rPr>
          <w:sz w:val="22"/>
          <w:szCs w:val="22"/>
        </w:rPr>
        <w:t xml:space="preserve">show purchase affordability for very low income households in </w:t>
      </w:r>
      <w:r>
        <w:rPr>
          <w:sz w:val="22"/>
          <w:szCs w:val="22"/>
        </w:rPr>
        <w:t xml:space="preserve">the </w:t>
      </w:r>
      <w:r w:rsidR="002D2210">
        <w:rPr>
          <w:sz w:val="22"/>
          <w:szCs w:val="22"/>
        </w:rPr>
        <w:t xml:space="preserve">Hunter </w:t>
      </w:r>
      <w:r>
        <w:rPr>
          <w:sz w:val="22"/>
          <w:szCs w:val="22"/>
        </w:rPr>
        <w:t xml:space="preserve">LGAs </w:t>
      </w:r>
      <w:r w:rsidRPr="00EC3534">
        <w:rPr>
          <w:sz w:val="22"/>
          <w:szCs w:val="22"/>
        </w:rPr>
        <w:t>and the Rest of NSW between 20</w:t>
      </w:r>
      <w:r w:rsidR="009F4C12">
        <w:rPr>
          <w:sz w:val="22"/>
          <w:szCs w:val="22"/>
        </w:rPr>
        <w:t>17</w:t>
      </w:r>
      <w:r w:rsidRPr="00EC3534">
        <w:rPr>
          <w:sz w:val="22"/>
          <w:szCs w:val="22"/>
        </w:rPr>
        <w:t xml:space="preserve"> and 20</w:t>
      </w:r>
      <w:r w:rsidR="002D2210">
        <w:rPr>
          <w:sz w:val="22"/>
          <w:szCs w:val="22"/>
        </w:rPr>
        <w:t>21</w:t>
      </w:r>
      <w:r w:rsidRPr="00EC3534">
        <w:rPr>
          <w:sz w:val="22"/>
          <w:szCs w:val="22"/>
        </w:rPr>
        <w:t>.</w:t>
      </w:r>
    </w:p>
    <w:p w14:paraId="01553779" w14:textId="77777777" w:rsidR="00E1656E" w:rsidRDefault="00E1656E" w:rsidP="00E1656E">
      <w:pPr>
        <w:spacing w:after="0"/>
        <w:jc w:val="both"/>
        <w:rPr>
          <w:sz w:val="22"/>
          <w:szCs w:val="22"/>
        </w:rPr>
      </w:pPr>
    </w:p>
    <w:p w14:paraId="3D3DD11C" w14:textId="77777777" w:rsidR="009E549F" w:rsidRDefault="000C4C02" w:rsidP="00E1656E">
      <w:pPr>
        <w:spacing w:after="0"/>
        <w:jc w:val="both"/>
        <w:rPr>
          <w:sz w:val="22"/>
          <w:szCs w:val="22"/>
        </w:rPr>
      </w:pPr>
      <w:r>
        <w:rPr>
          <w:noProof/>
          <w:sz w:val="22"/>
          <w:szCs w:val="22"/>
        </w:rPr>
        <w:drawing>
          <wp:inline distT="0" distB="0" distL="0" distR="0" wp14:anchorId="6517D946" wp14:editId="5EF74B23">
            <wp:extent cx="6112056" cy="3270830"/>
            <wp:effectExtent l="0" t="0" r="3175"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556" cy="3275379"/>
                    </a:xfrm>
                    <a:prstGeom prst="rect">
                      <a:avLst/>
                    </a:prstGeom>
                    <a:noFill/>
                  </pic:spPr>
                </pic:pic>
              </a:graphicData>
            </a:graphic>
          </wp:inline>
        </w:drawing>
      </w:r>
    </w:p>
    <w:p w14:paraId="078BE2D6" w14:textId="77777777" w:rsidR="002D2210" w:rsidRDefault="002D2210" w:rsidP="00E1656E">
      <w:pPr>
        <w:spacing w:after="0"/>
        <w:jc w:val="both"/>
        <w:rPr>
          <w:sz w:val="22"/>
          <w:szCs w:val="22"/>
        </w:rPr>
      </w:pPr>
      <w:r>
        <w:rPr>
          <w:sz w:val="22"/>
          <w:szCs w:val="22"/>
        </w:rPr>
        <w:lastRenderedPageBreak/>
        <w:t>Affordable purchase for very low income households 2001 to 2021</w:t>
      </w:r>
    </w:p>
    <w:p w14:paraId="1C89EB82" w14:textId="77777777" w:rsidR="002D2210" w:rsidRDefault="000C4C02" w:rsidP="00E1656E">
      <w:pPr>
        <w:spacing w:after="0"/>
        <w:jc w:val="both"/>
        <w:rPr>
          <w:sz w:val="22"/>
          <w:szCs w:val="22"/>
        </w:rPr>
      </w:pPr>
      <w:r w:rsidRPr="000C4C02">
        <w:rPr>
          <w:noProof/>
        </w:rPr>
        <w:drawing>
          <wp:inline distT="0" distB="0" distL="0" distR="0" wp14:anchorId="500A6F75" wp14:editId="3B62AB01">
            <wp:extent cx="4274820" cy="24822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74820" cy="2482215"/>
                    </a:xfrm>
                    <a:prstGeom prst="rect">
                      <a:avLst/>
                    </a:prstGeom>
                    <a:noFill/>
                    <a:ln>
                      <a:noFill/>
                    </a:ln>
                  </pic:spPr>
                </pic:pic>
              </a:graphicData>
            </a:graphic>
          </wp:inline>
        </w:drawing>
      </w:r>
    </w:p>
    <w:p w14:paraId="721CA3CE" w14:textId="77777777" w:rsidR="002D2210" w:rsidRDefault="002D2210" w:rsidP="00E1656E">
      <w:pPr>
        <w:spacing w:after="0"/>
        <w:jc w:val="both"/>
        <w:rPr>
          <w:sz w:val="22"/>
          <w:szCs w:val="22"/>
        </w:rPr>
      </w:pPr>
    </w:p>
    <w:p w14:paraId="4FC4FDE9" w14:textId="77777777" w:rsidR="00B53C22" w:rsidRPr="00B53C22" w:rsidRDefault="009F4C12" w:rsidP="004D6B96">
      <w:pPr>
        <w:numPr>
          <w:ilvl w:val="0"/>
          <w:numId w:val="7"/>
        </w:numPr>
        <w:spacing w:before="0" w:after="0"/>
        <w:jc w:val="both"/>
        <w:rPr>
          <w:b/>
          <w:sz w:val="22"/>
          <w:szCs w:val="22"/>
        </w:rPr>
      </w:pPr>
      <w:r>
        <w:rPr>
          <w:sz w:val="22"/>
          <w:szCs w:val="22"/>
        </w:rPr>
        <w:t>With the exception of Muswellbrook and Upper Hunt</w:t>
      </w:r>
      <w:r w:rsidR="00D430F9">
        <w:rPr>
          <w:sz w:val="22"/>
          <w:szCs w:val="22"/>
        </w:rPr>
        <w:t>e</w:t>
      </w:r>
      <w:r>
        <w:rPr>
          <w:sz w:val="22"/>
          <w:szCs w:val="22"/>
        </w:rPr>
        <w:t>r</w:t>
      </w:r>
      <w:r w:rsidR="00B53C22">
        <w:rPr>
          <w:sz w:val="22"/>
          <w:szCs w:val="22"/>
        </w:rPr>
        <w:t xml:space="preserve">, </w:t>
      </w:r>
      <w:r w:rsidR="00D430F9">
        <w:rPr>
          <w:sz w:val="22"/>
          <w:szCs w:val="22"/>
        </w:rPr>
        <w:t xml:space="preserve">all the </w:t>
      </w:r>
      <w:r w:rsidR="00B53C22">
        <w:rPr>
          <w:sz w:val="22"/>
          <w:szCs w:val="22"/>
        </w:rPr>
        <w:t>Hunter LGA</w:t>
      </w:r>
      <w:r w:rsidR="00D430F9">
        <w:rPr>
          <w:sz w:val="22"/>
          <w:szCs w:val="22"/>
        </w:rPr>
        <w:t>s</w:t>
      </w:r>
      <w:r w:rsidR="00B53C22">
        <w:rPr>
          <w:sz w:val="22"/>
          <w:szCs w:val="22"/>
        </w:rPr>
        <w:t xml:space="preserve"> had a lower proportion of housing affordable for purchase by low income households in 20</w:t>
      </w:r>
      <w:r w:rsidR="004F02B7">
        <w:rPr>
          <w:sz w:val="22"/>
          <w:szCs w:val="22"/>
        </w:rPr>
        <w:t>21</w:t>
      </w:r>
      <w:r w:rsidR="00B53C22">
        <w:rPr>
          <w:sz w:val="22"/>
          <w:szCs w:val="22"/>
        </w:rPr>
        <w:t xml:space="preserve"> than in 20</w:t>
      </w:r>
      <w:r>
        <w:rPr>
          <w:sz w:val="22"/>
          <w:szCs w:val="22"/>
        </w:rPr>
        <w:t xml:space="preserve">17. </w:t>
      </w:r>
      <w:r w:rsidR="004F02B7">
        <w:rPr>
          <w:sz w:val="22"/>
          <w:szCs w:val="22"/>
        </w:rPr>
        <w:t xml:space="preserve"> </w:t>
      </w:r>
      <w:r w:rsidR="00B53C22">
        <w:rPr>
          <w:sz w:val="22"/>
          <w:szCs w:val="22"/>
        </w:rPr>
        <w:t>Again there has been some</w:t>
      </w:r>
      <w:r w:rsidR="004F02B7">
        <w:rPr>
          <w:sz w:val="22"/>
          <w:szCs w:val="22"/>
        </w:rPr>
        <w:t xml:space="preserve"> volatility in affordable purchase </w:t>
      </w:r>
      <w:r w:rsidR="00D430F9">
        <w:rPr>
          <w:sz w:val="22"/>
          <w:szCs w:val="22"/>
        </w:rPr>
        <w:t xml:space="preserve">affordability </w:t>
      </w:r>
      <w:r w:rsidR="004F02B7">
        <w:rPr>
          <w:sz w:val="22"/>
          <w:szCs w:val="22"/>
        </w:rPr>
        <w:t>over this time frame, with a</w:t>
      </w:r>
      <w:r w:rsidR="00463438">
        <w:rPr>
          <w:sz w:val="22"/>
          <w:szCs w:val="22"/>
        </w:rPr>
        <w:t>l</w:t>
      </w:r>
      <w:r w:rsidR="004F02B7">
        <w:rPr>
          <w:sz w:val="22"/>
          <w:szCs w:val="22"/>
        </w:rPr>
        <w:t>l LGAs excepting Upper Hunter seeing a decline in affordability since 2020</w:t>
      </w:r>
      <w:r w:rsidR="00B53C22">
        <w:rPr>
          <w:sz w:val="22"/>
          <w:szCs w:val="22"/>
        </w:rPr>
        <w:t>.</w:t>
      </w:r>
    </w:p>
    <w:p w14:paraId="534DB906" w14:textId="77777777" w:rsidR="00B53C22" w:rsidRPr="00AD5F1E" w:rsidRDefault="00E1656E" w:rsidP="004D6B96">
      <w:pPr>
        <w:numPr>
          <w:ilvl w:val="0"/>
          <w:numId w:val="7"/>
        </w:numPr>
        <w:spacing w:before="0" w:after="0"/>
        <w:jc w:val="both"/>
        <w:rPr>
          <w:b/>
          <w:sz w:val="22"/>
          <w:szCs w:val="22"/>
        </w:rPr>
      </w:pPr>
      <w:r w:rsidRPr="00EC3534">
        <w:rPr>
          <w:sz w:val="22"/>
          <w:szCs w:val="22"/>
        </w:rPr>
        <w:t>At</w:t>
      </w:r>
      <w:r w:rsidR="004F02B7">
        <w:rPr>
          <w:sz w:val="22"/>
          <w:szCs w:val="22"/>
        </w:rPr>
        <w:t xml:space="preserve"> June 2021</w:t>
      </w:r>
      <w:r w:rsidRPr="00EC3534">
        <w:rPr>
          <w:sz w:val="22"/>
          <w:szCs w:val="22"/>
        </w:rPr>
        <w:t xml:space="preserve">, </w:t>
      </w:r>
      <w:r w:rsidR="004F02B7">
        <w:rPr>
          <w:sz w:val="22"/>
          <w:szCs w:val="22"/>
        </w:rPr>
        <w:t>six</w:t>
      </w:r>
      <w:r w:rsidR="00B53C22">
        <w:rPr>
          <w:sz w:val="22"/>
          <w:szCs w:val="22"/>
        </w:rPr>
        <w:t xml:space="preserve"> LGAs in the Hunter had a lower proportion of housing affordable for purchase by low income households th</w:t>
      </w:r>
      <w:r w:rsidR="004F02B7">
        <w:rPr>
          <w:sz w:val="22"/>
          <w:szCs w:val="22"/>
        </w:rPr>
        <w:t>an the Rest of NSW average of 23.8</w:t>
      </w:r>
      <w:r w:rsidR="00B53C22">
        <w:rPr>
          <w:sz w:val="22"/>
          <w:szCs w:val="22"/>
        </w:rPr>
        <w:t>%</w:t>
      </w:r>
      <w:r w:rsidR="004F02B7">
        <w:rPr>
          <w:sz w:val="22"/>
          <w:szCs w:val="22"/>
        </w:rPr>
        <w:t xml:space="preserve"> (Newcastle, Lake Macquarie, Maitland, Port Stephens, </w:t>
      </w:r>
      <w:r w:rsidR="00D75B9D">
        <w:rPr>
          <w:sz w:val="22"/>
          <w:szCs w:val="22"/>
        </w:rPr>
        <w:t>Dungog and Cessnock</w:t>
      </w:r>
      <w:r w:rsidR="009F6883">
        <w:rPr>
          <w:sz w:val="22"/>
          <w:szCs w:val="22"/>
        </w:rPr>
        <w:t>)</w:t>
      </w:r>
      <w:r w:rsidR="00B53C22">
        <w:rPr>
          <w:sz w:val="22"/>
          <w:szCs w:val="22"/>
        </w:rPr>
        <w:t>.</w:t>
      </w:r>
    </w:p>
    <w:p w14:paraId="67BFEBCD" w14:textId="77777777" w:rsidR="00AD5F1E" w:rsidRPr="00B53C22" w:rsidRDefault="00D75B9D" w:rsidP="004D6B96">
      <w:pPr>
        <w:numPr>
          <w:ilvl w:val="0"/>
          <w:numId w:val="7"/>
        </w:numPr>
        <w:spacing w:before="0" w:after="0"/>
        <w:jc w:val="both"/>
        <w:rPr>
          <w:b/>
          <w:sz w:val="22"/>
          <w:szCs w:val="22"/>
        </w:rPr>
      </w:pPr>
      <w:r>
        <w:rPr>
          <w:sz w:val="22"/>
          <w:szCs w:val="22"/>
        </w:rPr>
        <w:t>Newcastle had the lowest proportion of affordable purchase for low income households with just 0.9%, followed by Lake Macquarie with 1.4%, while Muswellbrook had the highest proportion with 80.1%</w:t>
      </w:r>
      <w:r w:rsidR="00AD5F1E">
        <w:rPr>
          <w:sz w:val="22"/>
          <w:szCs w:val="22"/>
        </w:rPr>
        <w:t>.</w:t>
      </w:r>
    </w:p>
    <w:p w14:paraId="48C60265" w14:textId="77777777" w:rsidR="00E1656E" w:rsidRPr="00EC3534" w:rsidRDefault="00E1656E" w:rsidP="004D6B96">
      <w:pPr>
        <w:numPr>
          <w:ilvl w:val="0"/>
          <w:numId w:val="7"/>
        </w:numPr>
        <w:spacing w:before="0" w:after="0"/>
        <w:jc w:val="both"/>
        <w:rPr>
          <w:b/>
          <w:sz w:val="22"/>
          <w:szCs w:val="22"/>
        </w:rPr>
      </w:pPr>
      <w:r w:rsidRPr="00EC3534">
        <w:rPr>
          <w:sz w:val="22"/>
          <w:szCs w:val="22"/>
        </w:rPr>
        <w:t xml:space="preserve">The graph </w:t>
      </w:r>
      <w:r w:rsidR="00D75B9D">
        <w:rPr>
          <w:sz w:val="22"/>
          <w:szCs w:val="22"/>
        </w:rPr>
        <w:t xml:space="preserve">and table </w:t>
      </w:r>
      <w:r w:rsidRPr="00EC3534">
        <w:rPr>
          <w:sz w:val="22"/>
          <w:szCs w:val="22"/>
        </w:rPr>
        <w:t>below show the change in purchase affordability for low income households in the</w:t>
      </w:r>
      <w:r w:rsidR="00AD5F1E">
        <w:rPr>
          <w:sz w:val="22"/>
          <w:szCs w:val="22"/>
        </w:rPr>
        <w:t xml:space="preserve"> Hunter</w:t>
      </w:r>
      <w:r w:rsidR="00A65755">
        <w:rPr>
          <w:sz w:val="22"/>
          <w:szCs w:val="22"/>
        </w:rPr>
        <w:t>, compared to the Rest of NSW,</w:t>
      </w:r>
      <w:r w:rsidR="00A30C29">
        <w:rPr>
          <w:sz w:val="22"/>
          <w:szCs w:val="22"/>
        </w:rPr>
        <w:t xml:space="preserve"> </w:t>
      </w:r>
      <w:r w:rsidRPr="00EC3534">
        <w:rPr>
          <w:sz w:val="22"/>
          <w:szCs w:val="22"/>
        </w:rPr>
        <w:t>between 20</w:t>
      </w:r>
      <w:r w:rsidR="0053727A">
        <w:rPr>
          <w:sz w:val="22"/>
          <w:szCs w:val="22"/>
        </w:rPr>
        <w:t>17</w:t>
      </w:r>
      <w:r w:rsidRPr="00EC3534">
        <w:rPr>
          <w:sz w:val="22"/>
          <w:szCs w:val="22"/>
        </w:rPr>
        <w:t xml:space="preserve"> and 20</w:t>
      </w:r>
      <w:r w:rsidR="00D75B9D">
        <w:rPr>
          <w:sz w:val="22"/>
          <w:szCs w:val="22"/>
        </w:rPr>
        <w:t>21</w:t>
      </w:r>
      <w:r w:rsidRPr="00EC3534">
        <w:rPr>
          <w:sz w:val="22"/>
          <w:szCs w:val="22"/>
        </w:rPr>
        <w:t>.</w:t>
      </w:r>
    </w:p>
    <w:p w14:paraId="6F56BE3F" w14:textId="77777777" w:rsidR="00E1656E" w:rsidRDefault="00E1656E" w:rsidP="00E1656E">
      <w:pPr>
        <w:jc w:val="both"/>
        <w:rPr>
          <w:b/>
          <w:sz w:val="20"/>
          <w:szCs w:val="20"/>
          <w:highlight w:val="yellow"/>
        </w:rPr>
      </w:pPr>
    </w:p>
    <w:p w14:paraId="6DCD63C1" w14:textId="77777777" w:rsidR="000C4C02" w:rsidRDefault="000C4C02" w:rsidP="00E1656E">
      <w:pPr>
        <w:jc w:val="both"/>
        <w:rPr>
          <w:b/>
          <w:sz w:val="20"/>
          <w:szCs w:val="20"/>
        </w:rPr>
      </w:pPr>
      <w:r w:rsidRPr="009F4C12">
        <w:rPr>
          <w:b/>
          <w:noProof/>
          <w:sz w:val="20"/>
          <w:szCs w:val="20"/>
        </w:rPr>
        <w:lastRenderedPageBreak/>
        <w:drawing>
          <wp:inline distT="0" distB="0" distL="0" distR="0" wp14:anchorId="5347147D" wp14:editId="68E9D20E">
            <wp:extent cx="6077634" cy="3198302"/>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0499" cy="3205072"/>
                    </a:xfrm>
                    <a:prstGeom prst="rect">
                      <a:avLst/>
                    </a:prstGeom>
                    <a:noFill/>
                  </pic:spPr>
                </pic:pic>
              </a:graphicData>
            </a:graphic>
          </wp:inline>
        </w:drawing>
      </w:r>
    </w:p>
    <w:p w14:paraId="7B78E077" w14:textId="77777777" w:rsidR="000C4C02" w:rsidRDefault="000C4C02" w:rsidP="00E1656E">
      <w:pPr>
        <w:jc w:val="both"/>
        <w:rPr>
          <w:b/>
          <w:sz w:val="20"/>
          <w:szCs w:val="20"/>
        </w:rPr>
      </w:pPr>
    </w:p>
    <w:p w14:paraId="67483116" w14:textId="77777777" w:rsidR="00C062E7" w:rsidRPr="000C4C02" w:rsidRDefault="00C062E7" w:rsidP="00E1656E">
      <w:pPr>
        <w:jc w:val="both"/>
        <w:rPr>
          <w:b/>
          <w:sz w:val="20"/>
          <w:szCs w:val="20"/>
        </w:rPr>
      </w:pPr>
      <w:r w:rsidRPr="000C4C02">
        <w:rPr>
          <w:sz w:val="22"/>
          <w:szCs w:val="22"/>
        </w:rPr>
        <w:t>Affordable purchase for low income households 2001 to 2021</w:t>
      </w:r>
    </w:p>
    <w:p w14:paraId="578FFC92" w14:textId="77777777" w:rsidR="008A2860" w:rsidRDefault="000C4C02" w:rsidP="009E549F">
      <w:pPr>
        <w:jc w:val="both"/>
        <w:rPr>
          <w:b/>
          <w:color w:val="008000"/>
          <w:sz w:val="32"/>
        </w:rPr>
      </w:pPr>
      <w:r w:rsidRPr="000C4C02">
        <w:rPr>
          <w:noProof/>
        </w:rPr>
        <w:drawing>
          <wp:inline distT="0" distB="0" distL="0" distR="0" wp14:anchorId="6D2C4A56" wp14:editId="572CAA9E">
            <wp:extent cx="4274820" cy="248221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74820" cy="2482215"/>
                    </a:xfrm>
                    <a:prstGeom prst="rect">
                      <a:avLst/>
                    </a:prstGeom>
                    <a:noFill/>
                    <a:ln>
                      <a:noFill/>
                    </a:ln>
                  </pic:spPr>
                </pic:pic>
              </a:graphicData>
            </a:graphic>
          </wp:inline>
        </w:drawing>
      </w:r>
    </w:p>
    <w:p w14:paraId="49D9563D" w14:textId="77777777" w:rsidR="008A2860" w:rsidRDefault="008A2860" w:rsidP="009E549F">
      <w:pPr>
        <w:jc w:val="both"/>
        <w:rPr>
          <w:b/>
          <w:color w:val="008000"/>
          <w:sz w:val="32"/>
        </w:rPr>
      </w:pPr>
    </w:p>
    <w:p w14:paraId="31CE3CE6" w14:textId="77777777" w:rsidR="009E549F" w:rsidRPr="00E1068C" w:rsidRDefault="009E549F" w:rsidP="009E549F">
      <w:pPr>
        <w:jc w:val="both"/>
        <w:rPr>
          <w:b/>
          <w:color w:val="008000"/>
          <w:sz w:val="32"/>
        </w:rPr>
      </w:pPr>
      <w:r w:rsidRPr="00E1068C">
        <w:rPr>
          <w:b/>
          <w:color w:val="008000"/>
          <w:sz w:val="32"/>
        </w:rPr>
        <w:t xml:space="preserve">Purchase </w:t>
      </w:r>
      <w:r>
        <w:rPr>
          <w:b/>
          <w:color w:val="008000"/>
          <w:sz w:val="32"/>
        </w:rPr>
        <w:t>Stress</w:t>
      </w:r>
    </w:p>
    <w:p w14:paraId="50031C1F" w14:textId="77777777" w:rsidR="009E549F" w:rsidRPr="001D657E" w:rsidRDefault="009E549F" w:rsidP="009E549F">
      <w:pPr>
        <w:pStyle w:val="ListParagraph"/>
        <w:numPr>
          <w:ilvl w:val="0"/>
          <w:numId w:val="20"/>
        </w:numPr>
        <w:jc w:val="both"/>
        <w:rPr>
          <w:b/>
          <w:sz w:val="20"/>
          <w:szCs w:val="20"/>
        </w:rPr>
      </w:pPr>
      <w:r>
        <w:rPr>
          <w:sz w:val="22"/>
          <w:szCs w:val="22"/>
        </w:rPr>
        <w:t xml:space="preserve">In 2021 there were </w:t>
      </w:r>
      <w:r w:rsidR="00476D63">
        <w:rPr>
          <w:sz w:val="22"/>
          <w:szCs w:val="22"/>
        </w:rPr>
        <w:t>2,750</w:t>
      </w:r>
      <w:r>
        <w:rPr>
          <w:sz w:val="22"/>
          <w:szCs w:val="22"/>
        </w:rPr>
        <w:t xml:space="preserve"> very low income households and </w:t>
      </w:r>
      <w:r w:rsidR="00476D63">
        <w:rPr>
          <w:sz w:val="22"/>
          <w:szCs w:val="22"/>
        </w:rPr>
        <w:t>3,047</w:t>
      </w:r>
      <w:r>
        <w:rPr>
          <w:sz w:val="22"/>
          <w:szCs w:val="22"/>
        </w:rPr>
        <w:t xml:space="preserve"> low income households purchasing a home and in stress across the</w:t>
      </w:r>
      <w:r w:rsidR="00476D63">
        <w:rPr>
          <w:sz w:val="22"/>
          <w:szCs w:val="22"/>
        </w:rPr>
        <w:t xml:space="preserve"> Hunter</w:t>
      </w:r>
      <w:r w:rsidR="00211F0C">
        <w:rPr>
          <w:sz w:val="22"/>
          <w:szCs w:val="22"/>
        </w:rPr>
        <w:t xml:space="preserve"> </w:t>
      </w:r>
      <w:r>
        <w:rPr>
          <w:sz w:val="22"/>
          <w:szCs w:val="22"/>
        </w:rPr>
        <w:t>– that is, paying more than 30% of their income on their mortgage.  This represents 4</w:t>
      </w:r>
      <w:r w:rsidR="00476D63">
        <w:rPr>
          <w:sz w:val="22"/>
          <w:szCs w:val="22"/>
        </w:rPr>
        <w:t>7.2</w:t>
      </w:r>
      <w:r>
        <w:rPr>
          <w:sz w:val="22"/>
          <w:szCs w:val="22"/>
        </w:rPr>
        <w:t>% of very low and low income purchasers in the region – a higher proportion than the average for the Rest of NSW at 43.9%.</w:t>
      </w:r>
    </w:p>
    <w:p w14:paraId="225A9F90" w14:textId="77777777" w:rsidR="009E549F" w:rsidRPr="002538EC" w:rsidRDefault="00476D63" w:rsidP="009E549F">
      <w:pPr>
        <w:pStyle w:val="ListParagraph"/>
        <w:numPr>
          <w:ilvl w:val="0"/>
          <w:numId w:val="20"/>
        </w:numPr>
        <w:jc w:val="both"/>
        <w:rPr>
          <w:b/>
          <w:sz w:val="20"/>
          <w:szCs w:val="20"/>
        </w:rPr>
      </w:pPr>
      <w:r>
        <w:rPr>
          <w:sz w:val="22"/>
          <w:szCs w:val="22"/>
        </w:rPr>
        <w:t>Singleton</w:t>
      </w:r>
      <w:r w:rsidR="009E549F">
        <w:rPr>
          <w:sz w:val="22"/>
          <w:szCs w:val="22"/>
        </w:rPr>
        <w:t xml:space="preserve"> had the highest proportion with 5</w:t>
      </w:r>
      <w:r>
        <w:rPr>
          <w:sz w:val="22"/>
          <w:szCs w:val="22"/>
        </w:rPr>
        <w:t>2.7</w:t>
      </w:r>
      <w:r w:rsidR="009E549F">
        <w:rPr>
          <w:sz w:val="22"/>
          <w:szCs w:val="22"/>
        </w:rPr>
        <w:t xml:space="preserve">%, followed by </w:t>
      </w:r>
      <w:r>
        <w:rPr>
          <w:sz w:val="22"/>
          <w:szCs w:val="22"/>
        </w:rPr>
        <w:t>Dungog</w:t>
      </w:r>
      <w:r w:rsidR="009E549F">
        <w:rPr>
          <w:sz w:val="22"/>
          <w:szCs w:val="22"/>
        </w:rPr>
        <w:t xml:space="preserve"> with 5</w:t>
      </w:r>
      <w:r>
        <w:rPr>
          <w:sz w:val="22"/>
          <w:szCs w:val="22"/>
        </w:rPr>
        <w:t>0.5</w:t>
      </w:r>
      <w:r w:rsidR="00CC4F3C">
        <w:rPr>
          <w:sz w:val="22"/>
          <w:szCs w:val="22"/>
        </w:rPr>
        <w:t>%</w:t>
      </w:r>
      <w:r w:rsidR="009E549F">
        <w:rPr>
          <w:sz w:val="22"/>
          <w:szCs w:val="22"/>
        </w:rPr>
        <w:t xml:space="preserve">.  </w:t>
      </w:r>
    </w:p>
    <w:p w14:paraId="09A82A09" w14:textId="77777777" w:rsidR="009E549F" w:rsidRPr="0053727A" w:rsidRDefault="00476D63" w:rsidP="00B03740">
      <w:pPr>
        <w:pStyle w:val="ListParagraph"/>
        <w:numPr>
          <w:ilvl w:val="0"/>
          <w:numId w:val="20"/>
        </w:numPr>
        <w:jc w:val="both"/>
        <w:rPr>
          <w:b/>
          <w:sz w:val="20"/>
          <w:szCs w:val="20"/>
        </w:rPr>
      </w:pPr>
      <w:r w:rsidRPr="0053727A">
        <w:rPr>
          <w:sz w:val="22"/>
          <w:szCs w:val="22"/>
        </w:rPr>
        <w:lastRenderedPageBreak/>
        <w:t xml:space="preserve">Lake Macquarie </w:t>
      </w:r>
      <w:r w:rsidR="009E549F" w:rsidRPr="0053727A">
        <w:rPr>
          <w:sz w:val="22"/>
          <w:szCs w:val="22"/>
        </w:rPr>
        <w:t xml:space="preserve">had the highest number of very low and low income purchasers in stress with </w:t>
      </w:r>
      <w:r w:rsidRPr="0053727A">
        <w:rPr>
          <w:sz w:val="22"/>
          <w:szCs w:val="22"/>
        </w:rPr>
        <w:t>3,582</w:t>
      </w:r>
      <w:r w:rsidR="009E549F" w:rsidRPr="0053727A">
        <w:rPr>
          <w:sz w:val="22"/>
          <w:szCs w:val="22"/>
        </w:rPr>
        <w:t xml:space="preserve">, followed by </w:t>
      </w:r>
      <w:r w:rsidRPr="0053727A">
        <w:rPr>
          <w:sz w:val="22"/>
          <w:szCs w:val="22"/>
        </w:rPr>
        <w:t xml:space="preserve">Mid Coast </w:t>
      </w:r>
      <w:r w:rsidR="009E549F" w:rsidRPr="0053727A">
        <w:rPr>
          <w:sz w:val="22"/>
          <w:szCs w:val="22"/>
        </w:rPr>
        <w:t xml:space="preserve">with </w:t>
      </w:r>
      <w:r w:rsidRPr="0053727A">
        <w:rPr>
          <w:sz w:val="22"/>
          <w:szCs w:val="22"/>
        </w:rPr>
        <w:t>2,567</w:t>
      </w:r>
      <w:r w:rsidR="009E549F" w:rsidRPr="0053727A">
        <w:rPr>
          <w:sz w:val="22"/>
          <w:szCs w:val="22"/>
        </w:rPr>
        <w:t xml:space="preserve">, </w:t>
      </w:r>
      <w:r w:rsidRPr="0053727A">
        <w:rPr>
          <w:sz w:val="22"/>
          <w:szCs w:val="22"/>
        </w:rPr>
        <w:t xml:space="preserve">Newcastle </w:t>
      </w:r>
      <w:r w:rsidR="009E549F" w:rsidRPr="0053727A">
        <w:rPr>
          <w:sz w:val="22"/>
          <w:szCs w:val="22"/>
        </w:rPr>
        <w:t>with 1,</w:t>
      </w:r>
      <w:r w:rsidR="002D4BA6" w:rsidRPr="0053727A">
        <w:rPr>
          <w:sz w:val="22"/>
          <w:szCs w:val="22"/>
        </w:rPr>
        <w:t>977</w:t>
      </w:r>
      <w:r w:rsidR="009E549F" w:rsidRPr="0053727A">
        <w:rPr>
          <w:sz w:val="22"/>
          <w:szCs w:val="22"/>
        </w:rPr>
        <w:t xml:space="preserve"> and </w:t>
      </w:r>
      <w:r w:rsidR="002D4BA6" w:rsidRPr="0053727A">
        <w:rPr>
          <w:sz w:val="22"/>
          <w:szCs w:val="22"/>
        </w:rPr>
        <w:t>Port Stephens with 1,487</w:t>
      </w:r>
      <w:r w:rsidR="009E549F" w:rsidRPr="0053727A">
        <w:rPr>
          <w:sz w:val="22"/>
          <w:szCs w:val="22"/>
        </w:rPr>
        <w:t>.</w:t>
      </w:r>
    </w:p>
    <w:p w14:paraId="13616321" w14:textId="77777777" w:rsidR="009E549F" w:rsidRDefault="009E549F" w:rsidP="009E549F">
      <w:pPr>
        <w:rPr>
          <w:b/>
          <w:sz w:val="20"/>
          <w:szCs w:val="20"/>
        </w:rPr>
      </w:pPr>
      <w:r w:rsidRPr="009E549F">
        <w:rPr>
          <w:noProof/>
        </w:rPr>
        <w:drawing>
          <wp:inline distT="0" distB="0" distL="0" distR="0" wp14:anchorId="679A6675" wp14:editId="29598866">
            <wp:extent cx="6086475" cy="2989558"/>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02621" cy="2997489"/>
                    </a:xfrm>
                    <a:prstGeom prst="rect">
                      <a:avLst/>
                    </a:prstGeom>
                    <a:noFill/>
                    <a:ln>
                      <a:noFill/>
                    </a:ln>
                  </pic:spPr>
                </pic:pic>
              </a:graphicData>
            </a:graphic>
          </wp:inline>
        </w:drawing>
      </w:r>
    </w:p>
    <w:p w14:paraId="1A24A3E2" w14:textId="77777777" w:rsidR="009E549F" w:rsidRPr="001D657E" w:rsidRDefault="009E549F" w:rsidP="009E549F">
      <w:pPr>
        <w:pStyle w:val="ListParagraph"/>
        <w:numPr>
          <w:ilvl w:val="0"/>
          <w:numId w:val="21"/>
        </w:numPr>
        <w:jc w:val="both"/>
        <w:rPr>
          <w:sz w:val="22"/>
          <w:szCs w:val="22"/>
        </w:rPr>
      </w:pPr>
      <w:r>
        <w:rPr>
          <w:sz w:val="22"/>
          <w:szCs w:val="22"/>
        </w:rPr>
        <w:t>However the number of very low and low income purchasers in stress is significantly lower than the number of very low and low income renters in stress in the region, as the graph below demonstrates.</w:t>
      </w:r>
      <w:r w:rsidR="002A0EFF">
        <w:rPr>
          <w:sz w:val="22"/>
          <w:szCs w:val="22"/>
        </w:rPr>
        <w:t xml:space="preserve">  There is a stronger need for more affordable housing for lower income renters </w:t>
      </w:r>
      <w:r w:rsidR="0077376C">
        <w:rPr>
          <w:sz w:val="22"/>
          <w:szCs w:val="22"/>
        </w:rPr>
        <w:t xml:space="preserve">than purchasers </w:t>
      </w:r>
      <w:r w:rsidR="002A0EFF">
        <w:rPr>
          <w:sz w:val="22"/>
          <w:szCs w:val="22"/>
        </w:rPr>
        <w:t>in the Hunter.</w:t>
      </w:r>
    </w:p>
    <w:p w14:paraId="0AAFE61A" w14:textId="77777777" w:rsidR="009E549F" w:rsidRDefault="009E549F" w:rsidP="00E1656E">
      <w:pPr>
        <w:jc w:val="both"/>
        <w:rPr>
          <w:b/>
          <w:sz w:val="20"/>
          <w:szCs w:val="20"/>
          <w:highlight w:val="yellow"/>
        </w:rPr>
      </w:pPr>
    </w:p>
    <w:p w14:paraId="191B347C" w14:textId="77777777" w:rsidR="009E549F" w:rsidRDefault="009E549F" w:rsidP="00E1656E">
      <w:pPr>
        <w:jc w:val="both"/>
        <w:rPr>
          <w:b/>
          <w:sz w:val="20"/>
          <w:szCs w:val="20"/>
          <w:highlight w:val="yellow"/>
        </w:rPr>
      </w:pPr>
      <w:r w:rsidRPr="009E549F">
        <w:rPr>
          <w:b/>
          <w:noProof/>
          <w:sz w:val="20"/>
          <w:szCs w:val="20"/>
        </w:rPr>
        <w:drawing>
          <wp:inline distT="0" distB="0" distL="0" distR="0" wp14:anchorId="6AD26820" wp14:editId="24F180DF">
            <wp:extent cx="5803900" cy="3048000"/>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03900" cy="3048000"/>
                    </a:xfrm>
                    <a:prstGeom prst="rect">
                      <a:avLst/>
                    </a:prstGeom>
                    <a:noFill/>
                  </pic:spPr>
                </pic:pic>
              </a:graphicData>
            </a:graphic>
          </wp:inline>
        </w:drawing>
      </w:r>
    </w:p>
    <w:p w14:paraId="43B94600" w14:textId="77777777" w:rsidR="009E549F" w:rsidRDefault="009E549F" w:rsidP="00E1656E">
      <w:pPr>
        <w:jc w:val="both"/>
        <w:rPr>
          <w:b/>
          <w:sz w:val="20"/>
          <w:szCs w:val="20"/>
          <w:highlight w:val="yellow"/>
        </w:rPr>
      </w:pPr>
    </w:p>
    <w:p w14:paraId="35BF3662" w14:textId="77777777" w:rsidR="004E2890" w:rsidRDefault="004E2890" w:rsidP="00E1656E">
      <w:pPr>
        <w:jc w:val="both"/>
        <w:rPr>
          <w:b/>
          <w:sz w:val="20"/>
          <w:szCs w:val="20"/>
          <w:highlight w:val="yellow"/>
        </w:rPr>
      </w:pPr>
    </w:p>
    <w:p w14:paraId="039612EA" w14:textId="77777777" w:rsidR="009E549F" w:rsidRPr="007710BF" w:rsidRDefault="009E549F" w:rsidP="00E1656E">
      <w:pPr>
        <w:jc w:val="both"/>
        <w:rPr>
          <w:b/>
          <w:sz w:val="20"/>
          <w:szCs w:val="20"/>
          <w:highlight w:val="yellow"/>
        </w:rPr>
      </w:pPr>
    </w:p>
    <w:p w14:paraId="2F604F29" w14:textId="77777777" w:rsidR="00E1656E" w:rsidRDefault="00E1656E" w:rsidP="00E1656E">
      <w:pPr>
        <w:jc w:val="both"/>
        <w:rPr>
          <w:b/>
          <w:color w:val="008000"/>
          <w:sz w:val="32"/>
        </w:rPr>
      </w:pPr>
      <w:r w:rsidRPr="00281439">
        <w:rPr>
          <w:b/>
          <w:color w:val="008000"/>
          <w:sz w:val="32"/>
        </w:rPr>
        <w:t>Additional Data</w:t>
      </w:r>
    </w:p>
    <w:p w14:paraId="1CC99B8F" w14:textId="77777777" w:rsidR="00CC4F3C" w:rsidRPr="00EC3534" w:rsidRDefault="00CC4F3C" w:rsidP="00CC4F3C">
      <w:pPr>
        <w:jc w:val="both"/>
        <w:rPr>
          <w:sz w:val="22"/>
          <w:szCs w:val="22"/>
        </w:rPr>
      </w:pPr>
      <w:r w:rsidRPr="00EC3534">
        <w:rPr>
          <w:sz w:val="22"/>
          <w:szCs w:val="22"/>
        </w:rPr>
        <w:t xml:space="preserve">Additional data on rents and sale prices, including both current and historical data, is available from the Rent and Sales </w:t>
      </w:r>
      <w:r>
        <w:rPr>
          <w:sz w:val="22"/>
          <w:szCs w:val="22"/>
        </w:rPr>
        <w:t>Report and the interactive Dashboard</w:t>
      </w:r>
      <w:r w:rsidRPr="00EC3534">
        <w:rPr>
          <w:sz w:val="22"/>
          <w:szCs w:val="22"/>
        </w:rPr>
        <w:t xml:space="preserve"> on the Housing NSW website at:</w:t>
      </w:r>
    </w:p>
    <w:p w14:paraId="7D61713F" w14:textId="77777777" w:rsidR="00CC4F3C" w:rsidRDefault="00FA3E8A" w:rsidP="00CC4F3C">
      <w:pPr>
        <w:jc w:val="both"/>
        <w:rPr>
          <w:sz w:val="22"/>
          <w:szCs w:val="22"/>
        </w:rPr>
      </w:pPr>
      <w:hyperlink r:id="rId36" w:history="1">
        <w:r w:rsidR="00CC4F3C" w:rsidRPr="004D0CC5">
          <w:rPr>
            <w:rStyle w:val="Hyperlink"/>
            <w:sz w:val="22"/>
            <w:szCs w:val="22"/>
          </w:rPr>
          <w:t>https://www.facs.nsw.gov.au/resources/statistics/rent-and-sales/dashboard</w:t>
        </w:r>
      </w:hyperlink>
    </w:p>
    <w:p w14:paraId="1E4275D9" w14:textId="77777777" w:rsidR="00CC4F3C" w:rsidRPr="00EC3534" w:rsidRDefault="00CC4F3C" w:rsidP="00CC4F3C">
      <w:pPr>
        <w:jc w:val="both"/>
        <w:rPr>
          <w:sz w:val="22"/>
          <w:szCs w:val="22"/>
        </w:rPr>
      </w:pPr>
      <w:r w:rsidRPr="00EC3534">
        <w:rPr>
          <w:sz w:val="22"/>
          <w:szCs w:val="22"/>
        </w:rPr>
        <w:t>More detailed housing data and tables used in this Snapshot are available from the Local Government Housing Kit Database on the Housing NSW website at:</w:t>
      </w:r>
    </w:p>
    <w:p w14:paraId="76AFD853" w14:textId="77777777" w:rsidR="00CC4F3C" w:rsidRDefault="00FA3E8A" w:rsidP="00CC4F3C">
      <w:pPr>
        <w:jc w:val="both"/>
        <w:rPr>
          <w:sz w:val="22"/>
          <w:szCs w:val="22"/>
        </w:rPr>
      </w:pPr>
      <w:hyperlink r:id="rId37" w:history="1">
        <w:r w:rsidR="00CC4F3C" w:rsidRPr="004D0CC5">
          <w:rPr>
            <w:rStyle w:val="Hyperlink"/>
            <w:sz w:val="22"/>
            <w:szCs w:val="22"/>
          </w:rPr>
          <w:t>https://www.facs.nsw.gov.au/resources/nsw-local-government-housing-kit/chapters/local-government-housing-kit-database</w:t>
        </w:r>
      </w:hyperlink>
    </w:p>
    <w:p w14:paraId="530AE7D4" w14:textId="77777777" w:rsidR="00CC4F3C" w:rsidRDefault="00CC4F3C" w:rsidP="00CC4F3C">
      <w:pPr>
        <w:jc w:val="both"/>
        <w:rPr>
          <w:sz w:val="22"/>
          <w:szCs w:val="22"/>
        </w:rPr>
      </w:pPr>
      <w:r w:rsidRPr="00EC3534">
        <w:rPr>
          <w:sz w:val="22"/>
          <w:szCs w:val="22"/>
        </w:rPr>
        <w:t>More information on vacancy rates is available from the Real Estate Institute of NSW website:</w:t>
      </w:r>
    </w:p>
    <w:p w14:paraId="646C9DA2" w14:textId="77777777" w:rsidR="00CC4F3C" w:rsidRDefault="00FA3E8A" w:rsidP="00CC4F3C">
      <w:pPr>
        <w:jc w:val="both"/>
        <w:rPr>
          <w:sz w:val="22"/>
          <w:szCs w:val="22"/>
        </w:rPr>
      </w:pPr>
      <w:hyperlink r:id="rId38" w:history="1">
        <w:r w:rsidR="00CC4F3C" w:rsidRPr="004D0CC5">
          <w:rPr>
            <w:rStyle w:val="Hyperlink"/>
            <w:sz w:val="22"/>
            <w:szCs w:val="22"/>
          </w:rPr>
          <w:t>https://www.reinsw.com.au/Web/Web/Members/Property_data/Vacancy_Rates_Survey.aspx</w:t>
        </w:r>
      </w:hyperlink>
    </w:p>
    <w:p w14:paraId="35E84617" w14:textId="77777777" w:rsidR="00CC4F3C" w:rsidRDefault="00CC4F3C" w:rsidP="00CC4F3C">
      <w:pPr>
        <w:rPr>
          <w:sz w:val="22"/>
          <w:szCs w:val="22"/>
        </w:rPr>
      </w:pPr>
      <w:r>
        <w:rPr>
          <w:sz w:val="22"/>
          <w:szCs w:val="22"/>
        </w:rPr>
        <w:t>The Rental Affordability Index is at</w:t>
      </w:r>
    </w:p>
    <w:p w14:paraId="2AD5ABF6" w14:textId="77777777" w:rsidR="00CC4F3C" w:rsidRDefault="00FA3E8A" w:rsidP="00CC4F3C">
      <w:pPr>
        <w:rPr>
          <w:sz w:val="22"/>
          <w:szCs w:val="22"/>
        </w:rPr>
      </w:pPr>
      <w:hyperlink r:id="rId39" w:history="1">
        <w:r w:rsidR="00CC4F3C" w:rsidRPr="00581F7A">
          <w:rPr>
            <w:rStyle w:val="Hyperlink"/>
            <w:sz w:val="22"/>
            <w:szCs w:val="22"/>
          </w:rPr>
          <w:t>https://sgsep.com.au/projects/rental-affordability-index</w:t>
        </w:r>
      </w:hyperlink>
    </w:p>
    <w:p w14:paraId="6232BA68" w14:textId="77777777" w:rsidR="00CC4F3C" w:rsidRPr="00CC4F3C" w:rsidRDefault="00CC4F3C" w:rsidP="00E1656E">
      <w:pPr>
        <w:jc w:val="both"/>
        <w:rPr>
          <w:sz w:val="22"/>
          <w:szCs w:val="22"/>
        </w:rPr>
      </w:pPr>
    </w:p>
    <w:sectPr w:rsidR="00CC4F3C" w:rsidRPr="00CC4F3C" w:rsidSect="00BB657B">
      <w:headerReference w:type="default" r:id="rId40"/>
      <w:footerReference w:type="default" r:id="rId41"/>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0FAE" w14:textId="77777777" w:rsidR="00F50873" w:rsidRDefault="00F50873">
      <w:r>
        <w:separator/>
      </w:r>
    </w:p>
  </w:endnote>
  <w:endnote w:type="continuationSeparator" w:id="0">
    <w:p w14:paraId="140B5490" w14:textId="77777777" w:rsidR="00F50873" w:rsidRDefault="00F5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699778"/>
      <w:docPartObj>
        <w:docPartGallery w:val="Page Numbers (Bottom of Page)"/>
        <w:docPartUnique/>
      </w:docPartObj>
    </w:sdtPr>
    <w:sdtEndPr>
      <w:rPr>
        <w:noProof/>
      </w:rPr>
    </w:sdtEndPr>
    <w:sdtContent>
      <w:p w14:paraId="5C732635" w14:textId="77777777" w:rsidR="005715D8" w:rsidRDefault="005715D8">
        <w:pPr>
          <w:pStyle w:val="Footer"/>
          <w:jc w:val="right"/>
        </w:pPr>
        <w:r>
          <w:fldChar w:fldCharType="begin"/>
        </w:r>
        <w:r>
          <w:instrText xml:space="preserve"> PAGE   \* MERGEFORMAT </w:instrText>
        </w:r>
        <w:r>
          <w:fldChar w:fldCharType="separate"/>
        </w:r>
        <w:r w:rsidR="00CC4F3C">
          <w:rPr>
            <w:noProof/>
          </w:rPr>
          <w:t>21</w:t>
        </w:r>
        <w:r>
          <w:rPr>
            <w:noProof/>
          </w:rPr>
          <w:fldChar w:fldCharType="end"/>
        </w:r>
      </w:p>
    </w:sdtContent>
  </w:sdt>
  <w:p w14:paraId="488DA216" w14:textId="77777777" w:rsidR="00F50873" w:rsidRPr="00EC070F" w:rsidRDefault="00F50873">
    <w:pPr>
      <w:pStyle w:val="Footer"/>
      <w:rPr>
        <w:rFonts w:cs="Arial"/>
        <w:color w:val="4C8C2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BE8E" w14:textId="77777777" w:rsidR="00F50873" w:rsidRDefault="00F50873">
      <w:r>
        <w:separator/>
      </w:r>
    </w:p>
  </w:footnote>
  <w:footnote w:type="continuationSeparator" w:id="0">
    <w:p w14:paraId="2C404F39" w14:textId="77777777" w:rsidR="00F50873" w:rsidRDefault="00F50873">
      <w:r>
        <w:continuationSeparator/>
      </w:r>
    </w:p>
  </w:footnote>
  <w:footnote w:id="1">
    <w:p w14:paraId="096616E4" w14:textId="77777777" w:rsidR="00F50873" w:rsidRPr="00450EB9" w:rsidRDefault="00F50873" w:rsidP="00D22FE3">
      <w:pPr>
        <w:pStyle w:val="FootnoteText"/>
        <w:rPr>
          <w:sz w:val="18"/>
          <w:szCs w:val="18"/>
          <w:lang w:val="en-US"/>
        </w:rPr>
      </w:pPr>
      <w:r>
        <w:rPr>
          <w:rStyle w:val="FootnoteReference"/>
        </w:rPr>
        <w:footnoteRef/>
      </w:r>
      <w:r>
        <w:t xml:space="preserve"> </w:t>
      </w:r>
      <w:r w:rsidRPr="00450EB9">
        <w:rPr>
          <w:sz w:val="18"/>
          <w:szCs w:val="18"/>
        </w:rPr>
        <w:t>The University of Sydney Urban Housing Lab report “Planning responses to online short term holiday rental platforms” -  Research Project for Australian Coastal Councils Association Inc. September 2018  by Nicole Gurran, Yuting Zhang, Pranita Shrestha, Catherine Gilbert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1A82" w14:textId="77777777" w:rsidR="00F50873" w:rsidRDefault="00F50873" w:rsidP="00555F5C">
    <w:pPr>
      <w:pStyle w:val="Factsheet"/>
      <w:ind w:left="7200"/>
      <w:jc w:val="left"/>
    </w:pPr>
    <w:r>
      <w:rPr>
        <w:noProof/>
      </w:rPr>
      <w:drawing>
        <wp:anchor distT="0" distB="0" distL="114300" distR="114300" simplePos="0" relativeHeight="251659264" behindDoc="1" locked="0" layoutInCell="1" allowOverlap="1" wp14:anchorId="3B19917A" wp14:editId="5EEEC771">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br/>
    </w:r>
  </w:p>
  <w:p w14:paraId="2EE3CB30" w14:textId="77777777" w:rsidR="00F50873" w:rsidRPr="001F5B89" w:rsidRDefault="00F50873"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E1B"/>
    <w:multiLevelType w:val="hybridMultilevel"/>
    <w:tmpl w:val="4FFA80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C2BAF"/>
    <w:multiLevelType w:val="hybridMultilevel"/>
    <w:tmpl w:val="E7CAE1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F75FCA"/>
    <w:multiLevelType w:val="hybridMultilevel"/>
    <w:tmpl w:val="22CAF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55519"/>
    <w:multiLevelType w:val="hybridMultilevel"/>
    <w:tmpl w:val="DF50B32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D80B64"/>
    <w:multiLevelType w:val="hybridMultilevel"/>
    <w:tmpl w:val="18D4FCA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E67A62"/>
    <w:multiLevelType w:val="hybridMultilevel"/>
    <w:tmpl w:val="FE802B2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B53B45"/>
    <w:multiLevelType w:val="hybridMultilevel"/>
    <w:tmpl w:val="8A348E5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90109D"/>
    <w:multiLevelType w:val="hybridMultilevel"/>
    <w:tmpl w:val="B232A51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404729"/>
    <w:multiLevelType w:val="hybridMultilevel"/>
    <w:tmpl w:val="371A41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C16789"/>
    <w:multiLevelType w:val="hybridMultilevel"/>
    <w:tmpl w:val="7B0039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D62B91"/>
    <w:multiLevelType w:val="hybridMultilevel"/>
    <w:tmpl w:val="1A906C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681645"/>
    <w:multiLevelType w:val="hybridMultilevel"/>
    <w:tmpl w:val="7C1CD2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29A5DCD"/>
    <w:multiLevelType w:val="hybridMultilevel"/>
    <w:tmpl w:val="A4DC09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EA4607"/>
    <w:multiLevelType w:val="hybridMultilevel"/>
    <w:tmpl w:val="7F56833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2F6868"/>
    <w:multiLevelType w:val="hybridMultilevel"/>
    <w:tmpl w:val="362A79F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03314B"/>
    <w:multiLevelType w:val="hybridMultilevel"/>
    <w:tmpl w:val="D0F24F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C90B24"/>
    <w:multiLevelType w:val="hybridMultilevel"/>
    <w:tmpl w:val="27484F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A50F0A"/>
    <w:multiLevelType w:val="hybridMultilevel"/>
    <w:tmpl w:val="75BAFC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0A66B4"/>
    <w:multiLevelType w:val="hybridMultilevel"/>
    <w:tmpl w:val="89B445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128B6"/>
    <w:multiLevelType w:val="hybridMultilevel"/>
    <w:tmpl w:val="340AB4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41F1A4A"/>
    <w:multiLevelType w:val="hybridMultilevel"/>
    <w:tmpl w:val="8AC07A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894CAF"/>
    <w:multiLevelType w:val="hybridMultilevel"/>
    <w:tmpl w:val="7B9813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146165920">
    <w:abstractNumId w:val="19"/>
  </w:num>
  <w:num w:numId="2" w16cid:durableId="278532001">
    <w:abstractNumId w:val="6"/>
  </w:num>
  <w:num w:numId="3" w16cid:durableId="1275791446">
    <w:abstractNumId w:val="13"/>
  </w:num>
  <w:num w:numId="4" w16cid:durableId="934049654">
    <w:abstractNumId w:val="14"/>
  </w:num>
  <w:num w:numId="5" w16cid:durableId="414013710">
    <w:abstractNumId w:val="22"/>
  </w:num>
  <w:num w:numId="6" w16cid:durableId="1530408301">
    <w:abstractNumId w:val="3"/>
  </w:num>
  <w:num w:numId="7" w16cid:durableId="1327784411">
    <w:abstractNumId w:val="5"/>
  </w:num>
  <w:num w:numId="8" w16cid:durableId="647905866">
    <w:abstractNumId w:val="7"/>
  </w:num>
  <w:num w:numId="9" w16cid:durableId="201018204">
    <w:abstractNumId w:val="11"/>
  </w:num>
  <w:num w:numId="10" w16cid:durableId="185600607">
    <w:abstractNumId w:val="8"/>
  </w:num>
  <w:num w:numId="11" w16cid:durableId="965085121">
    <w:abstractNumId w:val="15"/>
  </w:num>
  <w:num w:numId="12" w16cid:durableId="986669212">
    <w:abstractNumId w:val="18"/>
  </w:num>
  <w:num w:numId="13" w16cid:durableId="1077442114">
    <w:abstractNumId w:val="1"/>
  </w:num>
  <w:num w:numId="14" w16cid:durableId="1853370623">
    <w:abstractNumId w:val="20"/>
  </w:num>
  <w:num w:numId="15" w16cid:durableId="2056392865">
    <w:abstractNumId w:val="17"/>
  </w:num>
  <w:num w:numId="16" w16cid:durableId="1036349605">
    <w:abstractNumId w:val="10"/>
  </w:num>
  <w:num w:numId="17" w16cid:durableId="1472360192">
    <w:abstractNumId w:val="12"/>
  </w:num>
  <w:num w:numId="18" w16cid:durableId="918751403">
    <w:abstractNumId w:val="0"/>
  </w:num>
  <w:num w:numId="19" w16cid:durableId="866023112">
    <w:abstractNumId w:val="9"/>
  </w:num>
  <w:num w:numId="20" w16cid:durableId="2080440908">
    <w:abstractNumId w:val="16"/>
  </w:num>
  <w:num w:numId="21" w16cid:durableId="1613054707">
    <w:abstractNumId w:val="21"/>
  </w:num>
  <w:num w:numId="22" w16cid:durableId="460880878">
    <w:abstractNumId w:val="2"/>
  </w:num>
  <w:num w:numId="23" w16cid:durableId="49541520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286E"/>
    <w:rsid w:val="0000537C"/>
    <w:rsid w:val="000073E7"/>
    <w:rsid w:val="00011380"/>
    <w:rsid w:val="00011BCE"/>
    <w:rsid w:val="000128F8"/>
    <w:rsid w:val="000146D8"/>
    <w:rsid w:val="000148F5"/>
    <w:rsid w:val="00014DFA"/>
    <w:rsid w:val="00014F49"/>
    <w:rsid w:val="0001509B"/>
    <w:rsid w:val="0001657D"/>
    <w:rsid w:val="000176E5"/>
    <w:rsid w:val="00017706"/>
    <w:rsid w:val="0002002B"/>
    <w:rsid w:val="0002012D"/>
    <w:rsid w:val="00020287"/>
    <w:rsid w:val="0002385F"/>
    <w:rsid w:val="000238BE"/>
    <w:rsid w:val="00025B62"/>
    <w:rsid w:val="0002652D"/>
    <w:rsid w:val="0002705A"/>
    <w:rsid w:val="000301A0"/>
    <w:rsid w:val="00030840"/>
    <w:rsid w:val="00031868"/>
    <w:rsid w:val="00031AA0"/>
    <w:rsid w:val="000329C1"/>
    <w:rsid w:val="000331DB"/>
    <w:rsid w:val="00033A9F"/>
    <w:rsid w:val="00033DB5"/>
    <w:rsid w:val="0003643E"/>
    <w:rsid w:val="000406DD"/>
    <w:rsid w:val="000411E5"/>
    <w:rsid w:val="00042E77"/>
    <w:rsid w:val="0004492A"/>
    <w:rsid w:val="00045AF7"/>
    <w:rsid w:val="00047744"/>
    <w:rsid w:val="00050277"/>
    <w:rsid w:val="000545D9"/>
    <w:rsid w:val="00054D7D"/>
    <w:rsid w:val="000610BC"/>
    <w:rsid w:val="00062436"/>
    <w:rsid w:val="00064BA4"/>
    <w:rsid w:val="00067E94"/>
    <w:rsid w:val="00071F45"/>
    <w:rsid w:val="0007285B"/>
    <w:rsid w:val="0007502D"/>
    <w:rsid w:val="0007553F"/>
    <w:rsid w:val="00075B28"/>
    <w:rsid w:val="0007698C"/>
    <w:rsid w:val="0007784F"/>
    <w:rsid w:val="000808D2"/>
    <w:rsid w:val="000825C2"/>
    <w:rsid w:val="0008467A"/>
    <w:rsid w:val="00086B8E"/>
    <w:rsid w:val="0009596E"/>
    <w:rsid w:val="00095D8D"/>
    <w:rsid w:val="00096208"/>
    <w:rsid w:val="00096EE0"/>
    <w:rsid w:val="000A0F1E"/>
    <w:rsid w:val="000A5290"/>
    <w:rsid w:val="000A5608"/>
    <w:rsid w:val="000A6642"/>
    <w:rsid w:val="000A7162"/>
    <w:rsid w:val="000B1862"/>
    <w:rsid w:val="000B2289"/>
    <w:rsid w:val="000B2634"/>
    <w:rsid w:val="000B2A74"/>
    <w:rsid w:val="000B3A4A"/>
    <w:rsid w:val="000B3FA4"/>
    <w:rsid w:val="000B56D8"/>
    <w:rsid w:val="000B61E9"/>
    <w:rsid w:val="000B6979"/>
    <w:rsid w:val="000B75EB"/>
    <w:rsid w:val="000C0268"/>
    <w:rsid w:val="000C2867"/>
    <w:rsid w:val="000C3B4F"/>
    <w:rsid w:val="000C4C02"/>
    <w:rsid w:val="000C5DC7"/>
    <w:rsid w:val="000C662F"/>
    <w:rsid w:val="000C6B1E"/>
    <w:rsid w:val="000D2599"/>
    <w:rsid w:val="000D40E6"/>
    <w:rsid w:val="000D7FA3"/>
    <w:rsid w:val="000E078B"/>
    <w:rsid w:val="000E182F"/>
    <w:rsid w:val="000E1E21"/>
    <w:rsid w:val="000E5B59"/>
    <w:rsid w:val="000E7008"/>
    <w:rsid w:val="000F04EA"/>
    <w:rsid w:val="000F053E"/>
    <w:rsid w:val="000F249F"/>
    <w:rsid w:val="000F3370"/>
    <w:rsid w:val="000F38D0"/>
    <w:rsid w:val="000F461F"/>
    <w:rsid w:val="000F6CE6"/>
    <w:rsid w:val="000F6F9D"/>
    <w:rsid w:val="00101958"/>
    <w:rsid w:val="0010252A"/>
    <w:rsid w:val="00104FC4"/>
    <w:rsid w:val="00113B05"/>
    <w:rsid w:val="00117158"/>
    <w:rsid w:val="001174B1"/>
    <w:rsid w:val="00122CAE"/>
    <w:rsid w:val="00124388"/>
    <w:rsid w:val="0012441C"/>
    <w:rsid w:val="001253F4"/>
    <w:rsid w:val="0013027E"/>
    <w:rsid w:val="00131EA4"/>
    <w:rsid w:val="00132F07"/>
    <w:rsid w:val="001344D3"/>
    <w:rsid w:val="001344DC"/>
    <w:rsid w:val="00135905"/>
    <w:rsid w:val="00137892"/>
    <w:rsid w:val="00137F70"/>
    <w:rsid w:val="00140885"/>
    <w:rsid w:val="00142DBC"/>
    <w:rsid w:val="00143399"/>
    <w:rsid w:val="001441BA"/>
    <w:rsid w:val="00146DD9"/>
    <w:rsid w:val="001501E7"/>
    <w:rsid w:val="00150F0C"/>
    <w:rsid w:val="00151375"/>
    <w:rsid w:val="001513E0"/>
    <w:rsid w:val="001517A4"/>
    <w:rsid w:val="00152CFA"/>
    <w:rsid w:val="001537A4"/>
    <w:rsid w:val="00156081"/>
    <w:rsid w:val="00162916"/>
    <w:rsid w:val="00163B75"/>
    <w:rsid w:val="00165BCC"/>
    <w:rsid w:val="0016630F"/>
    <w:rsid w:val="001663F4"/>
    <w:rsid w:val="001669DC"/>
    <w:rsid w:val="0017182A"/>
    <w:rsid w:val="00171F63"/>
    <w:rsid w:val="001741DC"/>
    <w:rsid w:val="001742EA"/>
    <w:rsid w:val="00175CFF"/>
    <w:rsid w:val="0017634D"/>
    <w:rsid w:val="001769EC"/>
    <w:rsid w:val="00182CDB"/>
    <w:rsid w:val="00184737"/>
    <w:rsid w:val="001909CA"/>
    <w:rsid w:val="00195700"/>
    <w:rsid w:val="00197B58"/>
    <w:rsid w:val="001A0A02"/>
    <w:rsid w:val="001B00B6"/>
    <w:rsid w:val="001B17A1"/>
    <w:rsid w:val="001B27D6"/>
    <w:rsid w:val="001B2A55"/>
    <w:rsid w:val="001B3A46"/>
    <w:rsid w:val="001B4A6B"/>
    <w:rsid w:val="001B4D62"/>
    <w:rsid w:val="001B676A"/>
    <w:rsid w:val="001B79B1"/>
    <w:rsid w:val="001C15E4"/>
    <w:rsid w:val="001C236A"/>
    <w:rsid w:val="001C288C"/>
    <w:rsid w:val="001C37D4"/>
    <w:rsid w:val="001C6396"/>
    <w:rsid w:val="001C71A1"/>
    <w:rsid w:val="001D0C88"/>
    <w:rsid w:val="001D144E"/>
    <w:rsid w:val="001D3CC0"/>
    <w:rsid w:val="001D4D66"/>
    <w:rsid w:val="001D77A4"/>
    <w:rsid w:val="001E12EE"/>
    <w:rsid w:val="001E1D5E"/>
    <w:rsid w:val="001E556C"/>
    <w:rsid w:val="001E783A"/>
    <w:rsid w:val="001F2B5D"/>
    <w:rsid w:val="001F3B60"/>
    <w:rsid w:val="001F46C1"/>
    <w:rsid w:val="001F5B89"/>
    <w:rsid w:val="001F5E9F"/>
    <w:rsid w:val="001F777F"/>
    <w:rsid w:val="002010FF"/>
    <w:rsid w:val="002016EE"/>
    <w:rsid w:val="00201EC7"/>
    <w:rsid w:val="00203AFA"/>
    <w:rsid w:val="00203F4C"/>
    <w:rsid w:val="00206468"/>
    <w:rsid w:val="00211F0C"/>
    <w:rsid w:val="0021405C"/>
    <w:rsid w:val="002140CA"/>
    <w:rsid w:val="00215557"/>
    <w:rsid w:val="002162B2"/>
    <w:rsid w:val="002174EE"/>
    <w:rsid w:val="00217B75"/>
    <w:rsid w:val="00220972"/>
    <w:rsid w:val="00221385"/>
    <w:rsid w:val="00221E16"/>
    <w:rsid w:val="00222E33"/>
    <w:rsid w:val="00223136"/>
    <w:rsid w:val="00224741"/>
    <w:rsid w:val="00226F44"/>
    <w:rsid w:val="002307C5"/>
    <w:rsid w:val="0023354E"/>
    <w:rsid w:val="00235151"/>
    <w:rsid w:val="00237B30"/>
    <w:rsid w:val="002407D0"/>
    <w:rsid w:val="00240D80"/>
    <w:rsid w:val="002422C8"/>
    <w:rsid w:val="00245811"/>
    <w:rsid w:val="00247375"/>
    <w:rsid w:val="00247FE5"/>
    <w:rsid w:val="002527DA"/>
    <w:rsid w:val="002552D9"/>
    <w:rsid w:val="0026232D"/>
    <w:rsid w:val="00262CF8"/>
    <w:rsid w:val="0026359F"/>
    <w:rsid w:val="00263903"/>
    <w:rsid w:val="00266AEE"/>
    <w:rsid w:val="00266ECB"/>
    <w:rsid w:val="00270797"/>
    <w:rsid w:val="002718EB"/>
    <w:rsid w:val="00271FF2"/>
    <w:rsid w:val="00273BD2"/>
    <w:rsid w:val="002759E0"/>
    <w:rsid w:val="002805F3"/>
    <w:rsid w:val="00280DA8"/>
    <w:rsid w:val="0028254B"/>
    <w:rsid w:val="00283423"/>
    <w:rsid w:val="0028595F"/>
    <w:rsid w:val="00285DA3"/>
    <w:rsid w:val="00285F8B"/>
    <w:rsid w:val="002912B0"/>
    <w:rsid w:val="00294596"/>
    <w:rsid w:val="002976C9"/>
    <w:rsid w:val="002A07FD"/>
    <w:rsid w:val="002A0EFF"/>
    <w:rsid w:val="002A2478"/>
    <w:rsid w:val="002A3643"/>
    <w:rsid w:val="002A63B7"/>
    <w:rsid w:val="002A7FC0"/>
    <w:rsid w:val="002B0833"/>
    <w:rsid w:val="002B2FBC"/>
    <w:rsid w:val="002B5215"/>
    <w:rsid w:val="002B745C"/>
    <w:rsid w:val="002B79EF"/>
    <w:rsid w:val="002B7CEB"/>
    <w:rsid w:val="002C0AA5"/>
    <w:rsid w:val="002C1746"/>
    <w:rsid w:val="002C2918"/>
    <w:rsid w:val="002C291E"/>
    <w:rsid w:val="002C2A57"/>
    <w:rsid w:val="002C48DC"/>
    <w:rsid w:val="002C546D"/>
    <w:rsid w:val="002C75FA"/>
    <w:rsid w:val="002C7846"/>
    <w:rsid w:val="002D2210"/>
    <w:rsid w:val="002D2808"/>
    <w:rsid w:val="002D3D98"/>
    <w:rsid w:val="002D473B"/>
    <w:rsid w:val="002D4BA6"/>
    <w:rsid w:val="002D7FF1"/>
    <w:rsid w:val="002E1475"/>
    <w:rsid w:val="002E1989"/>
    <w:rsid w:val="002E23C3"/>
    <w:rsid w:val="002E4809"/>
    <w:rsid w:val="002E5E5E"/>
    <w:rsid w:val="002E7126"/>
    <w:rsid w:val="002F11C1"/>
    <w:rsid w:val="002F194D"/>
    <w:rsid w:val="002F1BF6"/>
    <w:rsid w:val="002F3AFB"/>
    <w:rsid w:val="002F4E30"/>
    <w:rsid w:val="002F5488"/>
    <w:rsid w:val="002F558B"/>
    <w:rsid w:val="002F61A0"/>
    <w:rsid w:val="002F7EDC"/>
    <w:rsid w:val="00300844"/>
    <w:rsid w:val="003033E8"/>
    <w:rsid w:val="00305089"/>
    <w:rsid w:val="00305829"/>
    <w:rsid w:val="00307D53"/>
    <w:rsid w:val="0031042B"/>
    <w:rsid w:val="0031124B"/>
    <w:rsid w:val="003117CD"/>
    <w:rsid w:val="00315796"/>
    <w:rsid w:val="003173AB"/>
    <w:rsid w:val="00320D58"/>
    <w:rsid w:val="003306A3"/>
    <w:rsid w:val="00330901"/>
    <w:rsid w:val="00333D00"/>
    <w:rsid w:val="00334EDE"/>
    <w:rsid w:val="0033547A"/>
    <w:rsid w:val="0033798F"/>
    <w:rsid w:val="0034140D"/>
    <w:rsid w:val="003433C7"/>
    <w:rsid w:val="00343FC0"/>
    <w:rsid w:val="003451FB"/>
    <w:rsid w:val="0035011E"/>
    <w:rsid w:val="003511BA"/>
    <w:rsid w:val="003514DE"/>
    <w:rsid w:val="003519E4"/>
    <w:rsid w:val="00351E80"/>
    <w:rsid w:val="0035247A"/>
    <w:rsid w:val="00352D3F"/>
    <w:rsid w:val="00353B45"/>
    <w:rsid w:val="003560A6"/>
    <w:rsid w:val="00360C09"/>
    <w:rsid w:val="00360EA0"/>
    <w:rsid w:val="003612DA"/>
    <w:rsid w:val="00371240"/>
    <w:rsid w:val="0037151D"/>
    <w:rsid w:val="00373822"/>
    <w:rsid w:val="00374198"/>
    <w:rsid w:val="00382406"/>
    <w:rsid w:val="00382DD2"/>
    <w:rsid w:val="00383301"/>
    <w:rsid w:val="00383F13"/>
    <w:rsid w:val="003864CF"/>
    <w:rsid w:val="003869F8"/>
    <w:rsid w:val="00393363"/>
    <w:rsid w:val="00394F0A"/>
    <w:rsid w:val="00395DA8"/>
    <w:rsid w:val="00396834"/>
    <w:rsid w:val="003A0D8E"/>
    <w:rsid w:val="003A10C2"/>
    <w:rsid w:val="003A2183"/>
    <w:rsid w:val="003A2DAE"/>
    <w:rsid w:val="003A5B11"/>
    <w:rsid w:val="003A60EC"/>
    <w:rsid w:val="003A66E0"/>
    <w:rsid w:val="003A6E37"/>
    <w:rsid w:val="003A74D7"/>
    <w:rsid w:val="003B109B"/>
    <w:rsid w:val="003B1954"/>
    <w:rsid w:val="003B2029"/>
    <w:rsid w:val="003B312B"/>
    <w:rsid w:val="003B4FA9"/>
    <w:rsid w:val="003B5958"/>
    <w:rsid w:val="003B6984"/>
    <w:rsid w:val="003B76E6"/>
    <w:rsid w:val="003B7C6B"/>
    <w:rsid w:val="003C497F"/>
    <w:rsid w:val="003D3F7D"/>
    <w:rsid w:val="003D6256"/>
    <w:rsid w:val="003D74B2"/>
    <w:rsid w:val="003E027E"/>
    <w:rsid w:val="003E040E"/>
    <w:rsid w:val="003E1331"/>
    <w:rsid w:val="003E2B10"/>
    <w:rsid w:val="003E3494"/>
    <w:rsid w:val="003E3F20"/>
    <w:rsid w:val="003F0F71"/>
    <w:rsid w:val="003F12EE"/>
    <w:rsid w:val="003F1D65"/>
    <w:rsid w:val="003F4AE1"/>
    <w:rsid w:val="003F5D47"/>
    <w:rsid w:val="003F7832"/>
    <w:rsid w:val="00403E95"/>
    <w:rsid w:val="00403ECB"/>
    <w:rsid w:val="004045EF"/>
    <w:rsid w:val="00404713"/>
    <w:rsid w:val="00406C7C"/>
    <w:rsid w:val="00411F91"/>
    <w:rsid w:val="004122F9"/>
    <w:rsid w:val="00413496"/>
    <w:rsid w:val="00414BFB"/>
    <w:rsid w:val="00415351"/>
    <w:rsid w:val="004157A1"/>
    <w:rsid w:val="0041637F"/>
    <w:rsid w:val="00417530"/>
    <w:rsid w:val="004209CB"/>
    <w:rsid w:val="004226F2"/>
    <w:rsid w:val="00422F58"/>
    <w:rsid w:val="004250D1"/>
    <w:rsid w:val="00426C75"/>
    <w:rsid w:val="00426CCF"/>
    <w:rsid w:val="0042762C"/>
    <w:rsid w:val="0043154E"/>
    <w:rsid w:val="00431C7D"/>
    <w:rsid w:val="00432E44"/>
    <w:rsid w:val="00433911"/>
    <w:rsid w:val="00433F77"/>
    <w:rsid w:val="00435FBE"/>
    <w:rsid w:val="0043730B"/>
    <w:rsid w:val="00437E31"/>
    <w:rsid w:val="00443223"/>
    <w:rsid w:val="00443BE5"/>
    <w:rsid w:val="004450E5"/>
    <w:rsid w:val="0044771E"/>
    <w:rsid w:val="004514ED"/>
    <w:rsid w:val="00456D1B"/>
    <w:rsid w:val="004578D4"/>
    <w:rsid w:val="00462C0D"/>
    <w:rsid w:val="00463348"/>
    <w:rsid w:val="00463438"/>
    <w:rsid w:val="00463693"/>
    <w:rsid w:val="00465278"/>
    <w:rsid w:val="00465B77"/>
    <w:rsid w:val="00465CA9"/>
    <w:rsid w:val="00466F42"/>
    <w:rsid w:val="00471904"/>
    <w:rsid w:val="00471FED"/>
    <w:rsid w:val="00472613"/>
    <w:rsid w:val="00474D1F"/>
    <w:rsid w:val="00476D63"/>
    <w:rsid w:val="00477082"/>
    <w:rsid w:val="0047716D"/>
    <w:rsid w:val="004821FB"/>
    <w:rsid w:val="00482A4A"/>
    <w:rsid w:val="00483E4D"/>
    <w:rsid w:val="00484FED"/>
    <w:rsid w:val="00486ADF"/>
    <w:rsid w:val="00486FE9"/>
    <w:rsid w:val="00487C45"/>
    <w:rsid w:val="004905D6"/>
    <w:rsid w:val="004909FF"/>
    <w:rsid w:val="00492B05"/>
    <w:rsid w:val="004955BF"/>
    <w:rsid w:val="0049619E"/>
    <w:rsid w:val="00497695"/>
    <w:rsid w:val="00497A81"/>
    <w:rsid w:val="004A2F73"/>
    <w:rsid w:val="004A39D0"/>
    <w:rsid w:val="004A58FB"/>
    <w:rsid w:val="004B4725"/>
    <w:rsid w:val="004B47D6"/>
    <w:rsid w:val="004B73E4"/>
    <w:rsid w:val="004C4253"/>
    <w:rsid w:val="004C46B8"/>
    <w:rsid w:val="004C4868"/>
    <w:rsid w:val="004C74B6"/>
    <w:rsid w:val="004C7CEB"/>
    <w:rsid w:val="004D006D"/>
    <w:rsid w:val="004D1AB0"/>
    <w:rsid w:val="004D3681"/>
    <w:rsid w:val="004D5B8A"/>
    <w:rsid w:val="004D5D40"/>
    <w:rsid w:val="004D6B96"/>
    <w:rsid w:val="004D7EA7"/>
    <w:rsid w:val="004E2890"/>
    <w:rsid w:val="004E5367"/>
    <w:rsid w:val="004E5573"/>
    <w:rsid w:val="004E5AF2"/>
    <w:rsid w:val="004E63F8"/>
    <w:rsid w:val="004F02B7"/>
    <w:rsid w:val="004F5225"/>
    <w:rsid w:val="004F6436"/>
    <w:rsid w:val="004F68F4"/>
    <w:rsid w:val="00500814"/>
    <w:rsid w:val="00500AF2"/>
    <w:rsid w:val="0050174D"/>
    <w:rsid w:val="00501A40"/>
    <w:rsid w:val="0050388E"/>
    <w:rsid w:val="0050731C"/>
    <w:rsid w:val="00512431"/>
    <w:rsid w:val="005134DB"/>
    <w:rsid w:val="005138C1"/>
    <w:rsid w:val="00513B31"/>
    <w:rsid w:val="00514203"/>
    <w:rsid w:val="00515388"/>
    <w:rsid w:val="005176D3"/>
    <w:rsid w:val="00517D85"/>
    <w:rsid w:val="005237FF"/>
    <w:rsid w:val="00532867"/>
    <w:rsid w:val="005362AF"/>
    <w:rsid w:val="0053727A"/>
    <w:rsid w:val="00537C3A"/>
    <w:rsid w:val="00540306"/>
    <w:rsid w:val="00540BEA"/>
    <w:rsid w:val="00542A5E"/>
    <w:rsid w:val="00542D54"/>
    <w:rsid w:val="0054492D"/>
    <w:rsid w:val="005501FF"/>
    <w:rsid w:val="00552DEE"/>
    <w:rsid w:val="00555F5C"/>
    <w:rsid w:val="00557D72"/>
    <w:rsid w:val="0056136E"/>
    <w:rsid w:val="005622A2"/>
    <w:rsid w:val="005641BC"/>
    <w:rsid w:val="00564A6D"/>
    <w:rsid w:val="00566044"/>
    <w:rsid w:val="005674AF"/>
    <w:rsid w:val="00567A30"/>
    <w:rsid w:val="005715D8"/>
    <w:rsid w:val="00572CB5"/>
    <w:rsid w:val="005736B4"/>
    <w:rsid w:val="005745B1"/>
    <w:rsid w:val="00575218"/>
    <w:rsid w:val="0057662F"/>
    <w:rsid w:val="00577525"/>
    <w:rsid w:val="0058035E"/>
    <w:rsid w:val="00581AED"/>
    <w:rsid w:val="00581C6C"/>
    <w:rsid w:val="00583D52"/>
    <w:rsid w:val="00584469"/>
    <w:rsid w:val="0058515E"/>
    <w:rsid w:val="005852F8"/>
    <w:rsid w:val="005859FB"/>
    <w:rsid w:val="00585E90"/>
    <w:rsid w:val="00587B7D"/>
    <w:rsid w:val="00587EE2"/>
    <w:rsid w:val="00587FC3"/>
    <w:rsid w:val="005927CC"/>
    <w:rsid w:val="00595332"/>
    <w:rsid w:val="005A14CC"/>
    <w:rsid w:val="005A20CD"/>
    <w:rsid w:val="005A2F57"/>
    <w:rsid w:val="005A389D"/>
    <w:rsid w:val="005A576C"/>
    <w:rsid w:val="005A5F47"/>
    <w:rsid w:val="005A74E6"/>
    <w:rsid w:val="005B03F0"/>
    <w:rsid w:val="005B05EB"/>
    <w:rsid w:val="005B3E6F"/>
    <w:rsid w:val="005B4311"/>
    <w:rsid w:val="005B6274"/>
    <w:rsid w:val="005B72A1"/>
    <w:rsid w:val="005C03C7"/>
    <w:rsid w:val="005C0C76"/>
    <w:rsid w:val="005C1A32"/>
    <w:rsid w:val="005C3829"/>
    <w:rsid w:val="005D0369"/>
    <w:rsid w:val="005D2418"/>
    <w:rsid w:val="005D3C1E"/>
    <w:rsid w:val="005D5243"/>
    <w:rsid w:val="005E0EC4"/>
    <w:rsid w:val="005E304F"/>
    <w:rsid w:val="005E4202"/>
    <w:rsid w:val="005E5D5C"/>
    <w:rsid w:val="005F265C"/>
    <w:rsid w:val="005F47CF"/>
    <w:rsid w:val="005F68CF"/>
    <w:rsid w:val="005F7C64"/>
    <w:rsid w:val="00602501"/>
    <w:rsid w:val="00602E79"/>
    <w:rsid w:val="006047A5"/>
    <w:rsid w:val="00606514"/>
    <w:rsid w:val="00606598"/>
    <w:rsid w:val="00606934"/>
    <w:rsid w:val="006165FD"/>
    <w:rsid w:val="00616FBF"/>
    <w:rsid w:val="00621715"/>
    <w:rsid w:val="0062186B"/>
    <w:rsid w:val="0062259C"/>
    <w:rsid w:val="00624F0D"/>
    <w:rsid w:val="00625A95"/>
    <w:rsid w:val="00625C93"/>
    <w:rsid w:val="006260A4"/>
    <w:rsid w:val="00626515"/>
    <w:rsid w:val="006268D0"/>
    <w:rsid w:val="0063059C"/>
    <w:rsid w:val="006320EC"/>
    <w:rsid w:val="00632596"/>
    <w:rsid w:val="00633894"/>
    <w:rsid w:val="00634D71"/>
    <w:rsid w:val="00635154"/>
    <w:rsid w:val="00637912"/>
    <w:rsid w:val="00637B17"/>
    <w:rsid w:val="006407A6"/>
    <w:rsid w:val="00640E74"/>
    <w:rsid w:val="00641B08"/>
    <w:rsid w:val="006454C0"/>
    <w:rsid w:val="00651675"/>
    <w:rsid w:val="00655929"/>
    <w:rsid w:val="006560D6"/>
    <w:rsid w:val="00656D1A"/>
    <w:rsid w:val="00657E24"/>
    <w:rsid w:val="006604A0"/>
    <w:rsid w:val="00661A24"/>
    <w:rsid w:val="00662ABD"/>
    <w:rsid w:val="00663010"/>
    <w:rsid w:val="006632AB"/>
    <w:rsid w:val="0066560E"/>
    <w:rsid w:val="00667F27"/>
    <w:rsid w:val="0067391E"/>
    <w:rsid w:val="00673F44"/>
    <w:rsid w:val="0067451E"/>
    <w:rsid w:val="006754B6"/>
    <w:rsid w:val="00675CB8"/>
    <w:rsid w:val="00676748"/>
    <w:rsid w:val="00676B97"/>
    <w:rsid w:val="00676D5D"/>
    <w:rsid w:val="006801B8"/>
    <w:rsid w:val="00681CB1"/>
    <w:rsid w:val="0068374C"/>
    <w:rsid w:val="00684100"/>
    <w:rsid w:val="00684688"/>
    <w:rsid w:val="00693256"/>
    <w:rsid w:val="0069529F"/>
    <w:rsid w:val="006971DF"/>
    <w:rsid w:val="006A0046"/>
    <w:rsid w:val="006A0BE2"/>
    <w:rsid w:val="006A0FF7"/>
    <w:rsid w:val="006A2239"/>
    <w:rsid w:val="006A3F87"/>
    <w:rsid w:val="006A5D5F"/>
    <w:rsid w:val="006A6DB1"/>
    <w:rsid w:val="006A7B4F"/>
    <w:rsid w:val="006B04CD"/>
    <w:rsid w:val="006B289D"/>
    <w:rsid w:val="006B33CD"/>
    <w:rsid w:val="006B3B25"/>
    <w:rsid w:val="006B4028"/>
    <w:rsid w:val="006B480C"/>
    <w:rsid w:val="006B493D"/>
    <w:rsid w:val="006B5340"/>
    <w:rsid w:val="006B5948"/>
    <w:rsid w:val="006B6DB1"/>
    <w:rsid w:val="006C0C3B"/>
    <w:rsid w:val="006C4501"/>
    <w:rsid w:val="006C47B1"/>
    <w:rsid w:val="006C618A"/>
    <w:rsid w:val="006D1891"/>
    <w:rsid w:val="006D1E36"/>
    <w:rsid w:val="006D2E28"/>
    <w:rsid w:val="006D6D40"/>
    <w:rsid w:val="006E09F6"/>
    <w:rsid w:val="006E1EBC"/>
    <w:rsid w:val="006E3BEB"/>
    <w:rsid w:val="006E79A0"/>
    <w:rsid w:val="006F0E4E"/>
    <w:rsid w:val="006F1DD2"/>
    <w:rsid w:val="006F3E7B"/>
    <w:rsid w:val="006F3EEE"/>
    <w:rsid w:val="006F4102"/>
    <w:rsid w:val="006F55AF"/>
    <w:rsid w:val="006F678D"/>
    <w:rsid w:val="006F777C"/>
    <w:rsid w:val="006F7E8A"/>
    <w:rsid w:val="00700862"/>
    <w:rsid w:val="00700FFE"/>
    <w:rsid w:val="0070152B"/>
    <w:rsid w:val="0070389C"/>
    <w:rsid w:val="007039F2"/>
    <w:rsid w:val="00703E2D"/>
    <w:rsid w:val="00705798"/>
    <w:rsid w:val="00706202"/>
    <w:rsid w:val="00706E5A"/>
    <w:rsid w:val="00707B6E"/>
    <w:rsid w:val="00711F21"/>
    <w:rsid w:val="00712E51"/>
    <w:rsid w:val="007143CA"/>
    <w:rsid w:val="0072085C"/>
    <w:rsid w:val="00722530"/>
    <w:rsid w:val="007225CF"/>
    <w:rsid w:val="007227F3"/>
    <w:rsid w:val="00722BDC"/>
    <w:rsid w:val="00724361"/>
    <w:rsid w:val="0072526F"/>
    <w:rsid w:val="00725308"/>
    <w:rsid w:val="00726BCE"/>
    <w:rsid w:val="00730305"/>
    <w:rsid w:val="00730C7D"/>
    <w:rsid w:val="00735662"/>
    <w:rsid w:val="00735D7C"/>
    <w:rsid w:val="00736BFA"/>
    <w:rsid w:val="0073706D"/>
    <w:rsid w:val="007370A0"/>
    <w:rsid w:val="007373FB"/>
    <w:rsid w:val="00737805"/>
    <w:rsid w:val="00740E3B"/>
    <w:rsid w:val="007418B7"/>
    <w:rsid w:val="0075359D"/>
    <w:rsid w:val="007539EE"/>
    <w:rsid w:val="00756146"/>
    <w:rsid w:val="00760AA8"/>
    <w:rsid w:val="00761AA7"/>
    <w:rsid w:val="00761B41"/>
    <w:rsid w:val="007653AC"/>
    <w:rsid w:val="007712A3"/>
    <w:rsid w:val="007719DB"/>
    <w:rsid w:val="00773342"/>
    <w:rsid w:val="0077376C"/>
    <w:rsid w:val="00775DAA"/>
    <w:rsid w:val="00775E52"/>
    <w:rsid w:val="007775C2"/>
    <w:rsid w:val="0078400F"/>
    <w:rsid w:val="00785342"/>
    <w:rsid w:val="007870F3"/>
    <w:rsid w:val="00787EB8"/>
    <w:rsid w:val="007904E8"/>
    <w:rsid w:val="00792149"/>
    <w:rsid w:val="00794002"/>
    <w:rsid w:val="00794B8E"/>
    <w:rsid w:val="00797618"/>
    <w:rsid w:val="007A0631"/>
    <w:rsid w:val="007A105F"/>
    <w:rsid w:val="007A2415"/>
    <w:rsid w:val="007A2915"/>
    <w:rsid w:val="007A2C9D"/>
    <w:rsid w:val="007A4357"/>
    <w:rsid w:val="007A4ACF"/>
    <w:rsid w:val="007A5595"/>
    <w:rsid w:val="007A5679"/>
    <w:rsid w:val="007A7B79"/>
    <w:rsid w:val="007B10A1"/>
    <w:rsid w:val="007B23C0"/>
    <w:rsid w:val="007B5E96"/>
    <w:rsid w:val="007B796A"/>
    <w:rsid w:val="007C2068"/>
    <w:rsid w:val="007C314E"/>
    <w:rsid w:val="007C336E"/>
    <w:rsid w:val="007C3B0B"/>
    <w:rsid w:val="007C5444"/>
    <w:rsid w:val="007D0D89"/>
    <w:rsid w:val="007D5464"/>
    <w:rsid w:val="007D5C84"/>
    <w:rsid w:val="007D612F"/>
    <w:rsid w:val="007D7250"/>
    <w:rsid w:val="007D7989"/>
    <w:rsid w:val="007E0541"/>
    <w:rsid w:val="007E283B"/>
    <w:rsid w:val="007E6506"/>
    <w:rsid w:val="007E6630"/>
    <w:rsid w:val="007E74CE"/>
    <w:rsid w:val="007F0DFF"/>
    <w:rsid w:val="007F21E1"/>
    <w:rsid w:val="007F249A"/>
    <w:rsid w:val="007F49B2"/>
    <w:rsid w:val="007F4BB5"/>
    <w:rsid w:val="007F4CD1"/>
    <w:rsid w:val="007F5F30"/>
    <w:rsid w:val="007F5F8C"/>
    <w:rsid w:val="007F6563"/>
    <w:rsid w:val="008001A5"/>
    <w:rsid w:val="00802DD7"/>
    <w:rsid w:val="00805F6E"/>
    <w:rsid w:val="00807728"/>
    <w:rsid w:val="00810C20"/>
    <w:rsid w:val="008161B8"/>
    <w:rsid w:val="0082299C"/>
    <w:rsid w:val="00822A85"/>
    <w:rsid w:val="008233C4"/>
    <w:rsid w:val="00823721"/>
    <w:rsid w:val="00830009"/>
    <w:rsid w:val="00830C15"/>
    <w:rsid w:val="00832FAA"/>
    <w:rsid w:val="00833BC8"/>
    <w:rsid w:val="00834632"/>
    <w:rsid w:val="00834910"/>
    <w:rsid w:val="008355C2"/>
    <w:rsid w:val="008359C8"/>
    <w:rsid w:val="0084320C"/>
    <w:rsid w:val="00843386"/>
    <w:rsid w:val="00843501"/>
    <w:rsid w:val="00844E69"/>
    <w:rsid w:val="008477FE"/>
    <w:rsid w:val="0085229E"/>
    <w:rsid w:val="00852784"/>
    <w:rsid w:val="0085449F"/>
    <w:rsid w:val="00855C78"/>
    <w:rsid w:val="0086371E"/>
    <w:rsid w:val="008640CC"/>
    <w:rsid w:val="008645E3"/>
    <w:rsid w:val="00864828"/>
    <w:rsid w:val="00870743"/>
    <w:rsid w:val="008709B8"/>
    <w:rsid w:val="00871442"/>
    <w:rsid w:val="00872919"/>
    <w:rsid w:val="00872FF1"/>
    <w:rsid w:val="0087502F"/>
    <w:rsid w:val="00876CE5"/>
    <w:rsid w:val="00877A34"/>
    <w:rsid w:val="00877A71"/>
    <w:rsid w:val="0088091F"/>
    <w:rsid w:val="008809DE"/>
    <w:rsid w:val="00880FAF"/>
    <w:rsid w:val="008841B2"/>
    <w:rsid w:val="00884540"/>
    <w:rsid w:val="008873F6"/>
    <w:rsid w:val="008940F6"/>
    <w:rsid w:val="00895308"/>
    <w:rsid w:val="00895585"/>
    <w:rsid w:val="008A2860"/>
    <w:rsid w:val="008A53DD"/>
    <w:rsid w:val="008A6A0D"/>
    <w:rsid w:val="008A7B08"/>
    <w:rsid w:val="008B0D22"/>
    <w:rsid w:val="008B1641"/>
    <w:rsid w:val="008B3B1D"/>
    <w:rsid w:val="008B4601"/>
    <w:rsid w:val="008B6191"/>
    <w:rsid w:val="008B6B17"/>
    <w:rsid w:val="008C140F"/>
    <w:rsid w:val="008C2FB2"/>
    <w:rsid w:val="008D12BF"/>
    <w:rsid w:val="008D28BE"/>
    <w:rsid w:val="008D367F"/>
    <w:rsid w:val="008D43FA"/>
    <w:rsid w:val="008D4793"/>
    <w:rsid w:val="008D4CBD"/>
    <w:rsid w:val="008D5C71"/>
    <w:rsid w:val="008E03EC"/>
    <w:rsid w:val="008E2FCC"/>
    <w:rsid w:val="008E3093"/>
    <w:rsid w:val="008E6C1E"/>
    <w:rsid w:val="008E7B78"/>
    <w:rsid w:val="008F2BB7"/>
    <w:rsid w:val="008F2FB1"/>
    <w:rsid w:val="008F49CF"/>
    <w:rsid w:val="008F757B"/>
    <w:rsid w:val="009001A0"/>
    <w:rsid w:val="00900828"/>
    <w:rsid w:val="00900D31"/>
    <w:rsid w:val="00901478"/>
    <w:rsid w:val="00903812"/>
    <w:rsid w:val="00904A57"/>
    <w:rsid w:val="00906663"/>
    <w:rsid w:val="00912DB1"/>
    <w:rsid w:val="0091352A"/>
    <w:rsid w:val="00914AA2"/>
    <w:rsid w:val="00915392"/>
    <w:rsid w:val="00916AE4"/>
    <w:rsid w:val="00917E2A"/>
    <w:rsid w:val="009257F5"/>
    <w:rsid w:val="00925E78"/>
    <w:rsid w:val="00931A41"/>
    <w:rsid w:val="009320E3"/>
    <w:rsid w:val="00933915"/>
    <w:rsid w:val="00944CB0"/>
    <w:rsid w:val="0094542E"/>
    <w:rsid w:val="0094585F"/>
    <w:rsid w:val="00946659"/>
    <w:rsid w:val="00947BDA"/>
    <w:rsid w:val="0095060E"/>
    <w:rsid w:val="009518D2"/>
    <w:rsid w:val="00953E8A"/>
    <w:rsid w:val="00957D75"/>
    <w:rsid w:val="0096152F"/>
    <w:rsid w:val="00965EE5"/>
    <w:rsid w:val="009674B8"/>
    <w:rsid w:val="009701EB"/>
    <w:rsid w:val="00970410"/>
    <w:rsid w:val="00970D43"/>
    <w:rsid w:val="00971CE0"/>
    <w:rsid w:val="0097415B"/>
    <w:rsid w:val="009805BD"/>
    <w:rsid w:val="0098118D"/>
    <w:rsid w:val="00981E50"/>
    <w:rsid w:val="009827BA"/>
    <w:rsid w:val="00983CCD"/>
    <w:rsid w:val="0098461E"/>
    <w:rsid w:val="00984B52"/>
    <w:rsid w:val="00985076"/>
    <w:rsid w:val="0098586D"/>
    <w:rsid w:val="00987C51"/>
    <w:rsid w:val="00993332"/>
    <w:rsid w:val="0099637D"/>
    <w:rsid w:val="00997723"/>
    <w:rsid w:val="009A3228"/>
    <w:rsid w:val="009A4FC0"/>
    <w:rsid w:val="009A577D"/>
    <w:rsid w:val="009A6CF1"/>
    <w:rsid w:val="009A7C06"/>
    <w:rsid w:val="009B03A5"/>
    <w:rsid w:val="009B275D"/>
    <w:rsid w:val="009B3925"/>
    <w:rsid w:val="009B6768"/>
    <w:rsid w:val="009B799E"/>
    <w:rsid w:val="009C09F9"/>
    <w:rsid w:val="009C39F9"/>
    <w:rsid w:val="009C4138"/>
    <w:rsid w:val="009D0DE8"/>
    <w:rsid w:val="009D1EF2"/>
    <w:rsid w:val="009D21A3"/>
    <w:rsid w:val="009D2867"/>
    <w:rsid w:val="009D2F67"/>
    <w:rsid w:val="009D3B98"/>
    <w:rsid w:val="009D4F3C"/>
    <w:rsid w:val="009D4F40"/>
    <w:rsid w:val="009D6F2B"/>
    <w:rsid w:val="009E3C87"/>
    <w:rsid w:val="009E46E2"/>
    <w:rsid w:val="009E4B0D"/>
    <w:rsid w:val="009E4DB0"/>
    <w:rsid w:val="009E549F"/>
    <w:rsid w:val="009E6ADC"/>
    <w:rsid w:val="009E7D17"/>
    <w:rsid w:val="009F05C3"/>
    <w:rsid w:val="009F0CFA"/>
    <w:rsid w:val="009F3242"/>
    <w:rsid w:val="009F3EA5"/>
    <w:rsid w:val="009F4634"/>
    <w:rsid w:val="009F4C12"/>
    <w:rsid w:val="009F4F73"/>
    <w:rsid w:val="009F5A7B"/>
    <w:rsid w:val="009F6883"/>
    <w:rsid w:val="00A03B45"/>
    <w:rsid w:val="00A06DC4"/>
    <w:rsid w:val="00A06F4C"/>
    <w:rsid w:val="00A12F22"/>
    <w:rsid w:val="00A136B7"/>
    <w:rsid w:val="00A140C4"/>
    <w:rsid w:val="00A160B4"/>
    <w:rsid w:val="00A160EE"/>
    <w:rsid w:val="00A21DD3"/>
    <w:rsid w:val="00A241FD"/>
    <w:rsid w:val="00A24EA1"/>
    <w:rsid w:val="00A25CE3"/>
    <w:rsid w:val="00A30C29"/>
    <w:rsid w:val="00A3196A"/>
    <w:rsid w:val="00A33B90"/>
    <w:rsid w:val="00A33EF5"/>
    <w:rsid w:val="00A3617B"/>
    <w:rsid w:val="00A36633"/>
    <w:rsid w:val="00A36BE4"/>
    <w:rsid w:val="00A413C4"/>
    <w:rsid w:val="00A4153B"/>
    <w:rsid w:val="00A428D7"/>
    <w:rsid w:val="00A440B8"/>
    <w:rsid w:val="00A44CF3"/>
    <w:rsid w:val="00A46D24"/>
    <w:rsid w:val="00A47932"/>
    <w:rsid w:val="00A50459"/>
    <w:rsid w:val="00A515B1"/>
    <w:rsid w:val="00A54292"/>
    <w:rsid w:val="00A54479"/>
    <w:rsid w:val="00A54816"/>
    <w:rsid w:val="00A54F47"/>
    <w:rsid w:val="00A554CE"/>
    <w:rsid w:val="00A5593B"/>
    <w:rsid w:val="00A60F03"/>
    <w:rsid w:val="00A628C2"/>
    <w:rsid w:val="00A65755"/>
    <w:rsid w:val="00A701DD"/>
    <w:rsid w:val="00A72113"/>
    <w:rsid w:val="00A73754"/>
    <w:rsid w:val="00A73802"/>
    <w:rsid w:val="00A73BB0"/>
    <w:rsid w:val="00A74395"/>
    <w:rsid w:val="00A807C9"/>
    <w:rsid w:val="00A80F69"/>
    <w:rsid w:val="00A819EB"/>
    <w:rsid w:val="00A8318D"/>
    <w:rsid w:val="00A8375D"/>
    <w:rsid w:val="00A8445B"/>
    <w:rsid w:val="00A8484E"/>
    <w:rsid w:val="00A8639D"/>
    <w:rsid w:val="00A86628"/>
    <w:rsid w:val="00A87502"/>
    <w:rsid w:val="00A91C45"/>
    <w:rsid w:val="00A9434D"/>
    <w:rsid w:val="00A9447F"/>
    <w:rsid w:val="00A96FAD"/>
    <w:rsid w:val="00A972A4"/>
    <w:rsid w:val="00A97E8E"/>
    <w:rsid w:val="00AA0677"/>
    <w:rsid w:val="00AA1F7F"/>
    <w:rsid w:val="00AA3945"/>
    <w:rsid w:val="00AA40D9"/>
    <w:rsid w:val="00AA5867"/>
    <w:rsid w:val="00AB25AB"/>
    <w:rsid w:val="00AB2F33"/>
    <w:rsid w:val="00AB4BED"/>
    <w:rsid w:val="00AB6AC5"/>
    <w:rsid w:val="00AC0157"/>
    <w:rsid w:val="00AC2363"/>
    <w:rsid w:val="00AC61EC"/>
    <w:rsid w:val="00AC72F0"/>
    <w:rsid w:val="00AC7892"/>
    <w:rsid w:val="00AC791A"/>
    <w:rsid w:val="00AD198A"/>
    <w:rsid w:val="00AD392C"/>
    <w:rsid w:val="00AD5F1E"/>
    <w:rsid w:val="00AD7126"/>
    <w:rsid w:val="00AD7C3B"/>
    <w:rsid w:val="00AE05C4"/>
    <w:rsid w:val="00AE127C"/>
    <w:rsid w:val="00AE59F0"/>
    <w:rsid w:val="00AE5F23"/>
    <w:rsid w:val="00AE6C6D"/>
    <w:rsid w:val="00AF0285"/>
    <w:rsid w:val="00B000DB"/>
    <w:rsid w:val="00B04FBD"/>
    <w:rsid w:val="00B06988"/>
    <w:rsid w:val="00B1087F"/>
    <w:rsid w:val="00B11633"/>
    <w:rsid w:val="00B136C8"/>
    <w:rsid w:val="00B20EB9"/>
    <w:rsid w:val="00B21A38"/>
    <w:rsid w:val="00B2208A"/>
    <w:rsid w:val="00B25D04"/>
    <w:rsid w:val="00B359F1"/>
    <w:rsid w:val="00B41260"/>
    <w:rsid w:val="00B41A1F"/>
    <w:rsid w:val="00B4316D"/>
    <w:rsid w:val="00B436F2"/>
    <w:rsid w:val="00B442B4"/>
    <w:rsid w:val="00B5290C"/>
    <w:rsid w:val="00B530A0"/>
    <w:rsid w:val="00B53C22"/>
    <w:rsid w:val="00B579B2"/>
    <w:rsid w:val="00B65329"/>
    <w:rsid w:val="00B65904"/>
    <w:rsid w:val="00B66307"/>
    <w:rsid w:val="00B6725F"/>
    <w:rsid w:val="00B70335"/>
    <w:rsid w:val="00B719F0"/>
    <w:rsid w:val="00B72875"/>
    <w:rsid w:val="00B72C2D"/>
    <w:rsid w:val="00B745E9"/>
    <w:rsid w:val="00B77ED0"/>
    <w:rsid w:val="00B810A6"/>
    <w:rsid w:val="00B81F48"/>
    <w:rsid w:val="00B830DD"/>
    <w:rsid w:val="00B8325F"/>
    <w:rsid w:val="00B83551"/>
    <w:rsid w:val="00B87826"/>
    <w:rsid w:val="00B90173"/>
    <w:rsid w:val="00B9065D"/>
    <w:rsid w:val="00B9232D"/>
    <w:rsid w:val="00B923F1"/>
    <w:rsid w:val="00B93AD1"/>
    <w:rsid w:val="00B93FBE"/>
    <w:rsid w:val="00B94763"/>
    <w:rsid w:val="00B96913"/>
    <w:rsid w:val="00BA31AA"/>
    <w:rsid w:val="00BA4230"/>
    <w:rsid w:val="00BA4468"/>
    <w:rsid w:val="00BA5201"/>
    <w:rsid w:val="00BB0F1F"/>
    <w:rsid w:val="00BB11ED"/>
    <w:rsid w:val="00BB1545"/>
    <w:rsid w:val="00BB1802"/>
    <w:rsid w:val="00BB304A"/>
    <w:rsid w:val="00BB3FC9"/>
    <w:rsid w:val="00BB657B"/>
    <w:rsid w:val="00BB7E7F"/>
    <w:rsid w:val="00BC12FE"/>
    <w:rsid w:val="00BC1827"/>
    <w:rsid w:val="00BC2124"/>
    <w:rsid w:val="00BC237F"/>
    <w:rsid w:val="00BC2DA6"/>
    <w:rsid w:val="00BC589A"/>
    <w:rsid w:val="00BC6215"/>
    <w:rsid w:val="00BC7CFD"/>
    <w:rsid w:val="00BD0868"/>
    <w:rsid w:val="00BD0D25"/>
    <w:rsid w:val="00BD103B"/>
    <w:rsid w:val="00BD710E"/>
    <w:rsid w:val="00BD75AF"/>
    <w:rsid w:val="00BE3E96"/>
    <w:rsid w:val="00BE6932"/>
    <w:rsid w:val="00BF0F0A"/>
    <w:rsid w:val="00BF73F0"/>
    <w:rsid w:val="00BF7961"/>
    <w:rsid w:val="00C03748"/>
    <w:rsid w:val="00C04104"/>
    <w:rsid w:val="00C04954"/>
    <w:rsid w:val="00C062E7"/>
    <w:rsid w:val="00C10460"/>
    <w:rsid w:val="00C10AAB"/>
    <w:rsid w:val="00C10F89"/>
    <w:rsid w:val="00C11A9A"/>
    <w:rsid w:val="00C11D3B"/>
    <w:rsid w:val="00C1543B"/>
    <w:rsid w:val="00C20CC5"/>
    <w:rsid w:val="00C212C5"/>
    <w:rsid w:val="00C2134C"/>
    <w:rsid w:val="00C22F45"/>
    <w:rsid w:val="00C23778"/>
    <w:rsid w:val="00C23E09"/>
    <w:rsid w:val="00C30EC4"/>
    <w:rsid w:val="00C33295"/>
    <w:rsid w:val="00C33DD7"/>
    <w:rsid w:val="00C36D69"/>
    <w:rsid w:val="00C406FB"/>
    <w:rsid w:val="00C4100B"/>
    <w:rsid w:val="00C410A5"/>
    <w:rsid w:val="00C41DED"/>
    <w:rsid w:val="00C424D3"/>
    <w:rsid w:val="00C431A4"/>
    <w:rsid w:val="00C45EA3"/>
    <w:rsid w:val="00C5036A"/>
    <w:rsid w:val="00C5065A"/>
    <w:rsid w:val="00C509C4"/>
    <w:rsid w:val="00C521C8"/>
    <w:rsid w:val="00C548D1"/>
    <w:rsid w:val="00C56180"/>
    <w:rsid w:val="00C61DAC"/>
    <w:rsid w:val="00C628C9"/>
    <w:rsid w:val="00C62A92"/>
    <w:rsid w:val="00C63F6D"/>
    <w:rsid w:val="00C6472A"/>
    <w:rsid w:val="00C64EEA"/>
    <w:rsid w:val="00C725F4"/>
    <w:rsid w:val="00C73AAF"/>
    <w:rsid w:val="00C76E7C"/>
    <w:rsid w:val="00C77FDF"/>
    <w:rsid w:val="00C81613"/>
    <w:rsid w:val="00C82D07"/>
    <w:rsid w:val="00C83EA4"/>
    <w:rsid w:val="00C84B7F"/>
    <w:rsid w:val="00C8520A"/>
    <w:rsid w:val="00C855FB"/>
    <w:rsid w:val="00C86823"/>
    <w:rsid w:val="00C9098F"/>
    <w:rsid w:val="00C92DB0"/>
    <w:rsid w:val="00C937A5"/>
    <w:rsid w:val="00C93EAA"/>
    <w:rsid w:val="00C94031"/>
    <w:rsid w:val="00C943C1"/>
    <w:rsid w:val="00C94DCD"/>
    <w:rsid w:val="00C95BD4"/>
    <w:rsid w:val="00C96312"/>
    <w:rsid w:val="00C9763D"/>
    <w:rsid w:val="00CA1203"/>
    <w:rsid w:val="00CA147F"/>
    <w:rsid w:val="00CA1BE8"/>
    <w:rsid w:val="00CA2DF1"/>
    <w:rsid w:val="00CA4627"/>
    <w:rsid w:val="00CA4B81"/>
    <w:rsid w:val="00CB1303"/>
    <w:rsid w:val="00CB2E3C"/>
    <w:rsid w:val="00CB31EC"/>
    <w:rsid w:val="00CB3F1D"/>
    <w:rsid w:val="00CB6A03"/>
    <w:rsid w:val="00CB74C6"/>
    <w:rsid w:val="00CC4171"/>
    <w:rsid w:val="00CC47D6"/>
    <w:rsid w:val="00CC4F3C"/>
    <w:rsid w:val="00CC52A0"/>
    <w:rsid w:val="00CC5ABA"/>
    <w:rsid w:val="00CC63CB"/>
    <w:rsid w:val="00CD0663"/>
    <w:rsid w:val="00CD1B13"/>
    <w:rsid w:val="00CD21E2"/>
    <w:rsid w:val="00CD2467"/>
    <w:rsid w:val="00CD4467"/>
    <w:rsid w:val="00CD4DFB"/>
    <w:rsid w:val="00CD4F1D"/>
    <w:rsid w:val="00CD5FE2"/>
    <w:rsid w:val="00CE0A3C"/>
    <w:rsid w:val="00CE0A64"/>
    <w:rsid w:val="00CE1400"/>
    <w:rsid w:val="00CE1AAF"/>
    <w:rsid w:val="00CE2BFA"/>
    <w:rsid w:val="00CF3412"/>
    <w:rsid w:val="00CF60B5"/>
    <w:rsid w:val="00CF72F4"/>
    <w:rsid w:val="00D02A8C"/>
    <w:rsid w:val="00D02F38"/>
    <w:rsid w:val="00D03827"/>
    <w:rsid w:val="00D05D17"/>
    <w:rsid w:val="00D05DE8"/>
    <w:rsid w:val="00D12B43"/>
    <w:rsid w:val="00D15F46"/>
    <w:rsid w:val="00D16824"/>
    <w:rsid w:val="00D22FE3"/>
    <w:rsid w:val="00D252CB"/>
    <w:rsid w:val="00D31827"/>
    <w:rsid w:val="00D33FB6"/>
    <w:rsid w:val="00D3500F"/>
    <w:rsid w:val="00D35BD2"/>
    <w:rsid w:val="00D371B3"/>
    <w:rsid w:val="00D37E78"/>
    <w:rsid w:val="00D40BC0"/>
    <w:rsid w:val="00D423A3"/>
    <w:rsid w:val="00D430F9"/>
    <w:rsid w:val="00D4653F"/>
    <w:rsid w:val="00D476AE"/>
    <w:rsid w:val="00D50F88"/>
    <w:rsid w:val="00D52AB6"/>
    <w:rsid w:val="00D5391C"/>
    <w:rsid w:val="00D55136"/>
    <w:rsid w:val="00D55F3B"/>
    <w:rsid w:val="00D57FDC"/>
    <w:rsid w:val="00D60132"/>
    <w:rsid w:val="00D603D1"/>
    <w:rsid w:val="00D60A2E"/>
    <w:rsid w:val="00D62274"/>
    <w:rsid w:val="00D6646A"/>
    <w:rsid w:val="00D66893"/>
    <w:rsid w:val="00D70310"/>
    <w:rsid w:val="00D7166D"/>
    <w:rsid w:val="00D71C35"/>
    <w:rsid w:val="00D75B9D"/>
    <w:rsid w:val="00D75E88"/>
    <w:rsid w:val="00D77D17"/>
    <w:rsid w:val="00D80D3B"/>
    <w:rsid w:val="00D827F7"/>
    <w:rsid w:val="00D82BCB"/>
    <w:rsid w:val="00D82D97"/>
    <w:rsid w:val="00D8339E"/>
    <w:rsid w:val="00D83545"/>
    <w:rsid w:val="00D837C9"/>
    <w:rsid w:val="00D850F0"/>
    <w:rsid w:val="00D855DF"/>
    <w:rsid w:val="00D87E6C"/>
    <w:rsid w:val="00D921F9"/>
    <w:rsid w:val="00D927BD"/>
    <w:rsid w:val="00D94ED9"/>
    <w:rsid w:val="00D956E1"/>
    <w:rsid w:val="00D9625C"/>
    <w:rsid w:val="00D965B2"/>
    <w:rsid w:val="00D96CEC"/>
    <w:rsid w:val="00DA151F"/>
    <w:rsid w:val="00DA1AF1"/>
    <w:rsid w:val="00DA2C9F"/>
    <w:rsid w:val="00DA400C"/>
    <w:rsid w:val="00DB0988"/>
    <w:rsid w:val="00DB0DC2"/>
    <w:rsid w:val="00DB1258"/>
    <w:rsid w:val="00DB15B2"/>
    <w:rsid w:val="00DB38F3"/>
    <w:rsid w:val="00DB4FDF"/>
    <w:rsid w:val="00DB602D"/>
    <w:rsid w:val="00DB7EB3"/>
    <w:rsid w:val="00DC1120"/>
    <w:rsid w:val="00DC53B9"/>
    <w:rsid w:val="00DD1BFC"/>
    <w:rsid w:val="00DD1EAE"/>
    <w:rsid w:val="00DD201E"/>
    <w:rsid w:val="00DD3C56"/>
    <w:rsid w:val="00DD40BD"/>
    <w:rsid w:val="00DD447F"/>
    <w:rsid w:val="00DD561F"/>
    <w:rsid w:val="00DD587E"/>
    <w:rsid w:val="00DD6505"/>
    <w:rsid w:val="00DD6ED6"/>
    <w:rsid w:val="00DD71B7"/>
    <w:rsid w:val="00DE26C6"/>
    <w:rsid w:val="00DE341F"/>
    <w:rsid w:val="00DE4B44"/>
    <w:rsid w:val="00DE6323"/>
    <w:rsid w:val="00DF01A2"/>
    <w:rsid w:val="00DF248C"/>
    <w:rsid w:val="00DF2CCC"/>
    <w:rsid w:val="00DF3FD7"/>
    <w:rsid w:val="00E01B02"/>
    <w:rsid w:val="00E01B9A"/>
    <w:rsid w:val="00E02ECB"/>
    <w:rsid w:val="00E03633"/>
    <w:rsid w:val="00E03A5D"/>
    <w:rsid w:val="00E05BD1"/>
    <w:rsid w:val="00E104B7"/>
    <w:rsid w:val="00E10C64"/>
    <w:rsid w:val="00E10FFC"/>
    <w:rsid w:val="00E1127A"/>
    <w:rsid w:val="00E1287E"/>
    <w:rsid w:val="00E12D9B"/>
    <w:rsid w:val="00E1656E"/>
    <w:rsid w:val="00E2077B"/>
    <w:rsid w:val="00E229C3"/>
    <w:rsid w:val="00E261A3"/>
    <w:rsid w:val="00E27E25"/>
    <w:rsid w:val="00E304DD"/>
    <w:rsid w:val="00E31F06"/>
    <w:rsid w:val="00E363DC"/>
    <w:rsid w:val="00E37BA9"/>
    <w:rsid w:val="00E37EF1"/>
    <w:rsid w:val="00E401FF"/>
    <w:rsid w:val="00E4156C"/>
    <w:rsid w:val="00E43545"/>
    <w:rsid w:val="00E4365B"/>
    <w:rsid w:val="00E43BA3"/>
    <w:rsid w:val="00E43EF7"/>
    <w:rsid w:val="00E448E2"/>
    <w:rsid w:val="00E474E8"/>
    <w:rsid w:val="00E477E3"/>
    <w:rsid w:val="00E521F7"/>
    <w:rsid w:val="00E536CE"/>
    <w:rsid w:val="00E54AE1"/>
    <w:rsid w:val="00E54E09"/>
    <w:rsid w:val="00E55FC6"/>
    <w:rsid w:val="00E56A64"/>
    <w:rsid w:val="00E61144"/>
    <w:rsid w:val="00E6151E"/>
    <w:rsid w:val="00E62860"/>
    <w:rsid w:val="00E63ECB"/>
    <w:rsid w:val="00E653A2"/>
    <w:rsid w:val="00E70D5B"/>
    <w:rsid w:val="00E712F4"/>
    <w:rsid w:val="00E71BA6"/>
    <w:rsid w:val="00E7275C"/>
    <w:rsid w:val="00E7327D"/>
    <w:rsid w:val="00E762FE"/>
    <w:rsid w:val="00E77E73"/>
    <w:rsid w:val="00E813AA"/>
    <w:rsid w:val="00E827C3"/>
    <w:rsid w:val="00E83171"/>
    <w:rsid w:val="00E83B4B"/>
    <w:rsid w:val="00E83E02"/>
    <w:rsid w:val="00E8442D"/>
    <w:rsid w:val="00E86983"/>
    <w:rsid w:val="00E87E5C"/>
    <w:rsid w:val="00E9012F"/>
    <w:rsid w:val="00E91EF3"/>
    <w:rsid w:val="00E92A30"/>
    <w:rsid w:val="00E9507D"/>
    <w:rsid w:val="00E95B57"/>
    <w:rsid w:val="00E9684F"/>
    <w:rsid w:val="00E972E7"/>
    <w:rsid w:val="00E9750D"/>
    <w:rsid w:val="00E97541"/>
    <w:rsid w:val="00EA0959"/>
    <w:rsid w:val="00EA0B6A"/>
    <w:rsid w:val="00EA145B"/>
    <w:rsid w:val="00EA567C"/>
    <w:rsid w:val="00EA64A1"/>
    <w:rsid w:val="00EA7C2A"/>
    <w:rsid w:val="00EB18D9"/>
    <w:rsid w:val="00EB2758"/>
    <w:rsid w:val="00EB47AC"/>
    <w:rsid w:val="00EB66A6"/>
    <w:rsid w:val="00EC070F"/>
    <w:rsid w:val="00EC227A"/>
    <w:rsid w:val="00EC2C66"/>
    <w:rsid w:val="00EC3534"/>
    <w:rsid w:val="00EC3933"/>
    <w:rsid w:val="00EC65A3"/>
    <w:rsid w:val="00ED01AE"/>
    <w:rsid w:val="00ED2C5C"/>
    <w:rsid w:val="00ED34A3"/>
    <w:rsid w:val="00ED5A96"/>
    <w:rsid w:val="00ED7C80"/>
    <w:rsid w:val="00EE00D1"/>
    <w:rsid w:val="00EE1193"/>
    <w:rsid w:val="00EE1C34"/>
    <w:rsid w:val="00EE1D22"/>
    <w:rsid w:val="00EE5840"/>
    <w:rsid w:val="00EF08C5"/>
    <w:rsid w:val="00EF0906"/>
    <w:rsid w:val="00EF3C9A"/>
    <w:rsid w:val="00EF5176"/>
    <w:rsid w:val="00EF76C7"/>
    <w:rsid w:val="00F006D1"/>
    <w:rsid w:val="00F019C8"/>
    <w:rsid w:val="00F029E6"/>
    <w:rsid w:val="00F02A74"/>
    <w:rsid w:val="00F02E93"/>
    <w:rsid w:val="00F02EA5"/>
    <w:rsid w:val="00F0515B"/>
    <w:rsid w:val="00F06641"/>
    <w:rsid w:val="00F06667"/>
    <w:rsid w:val="00F076E0"/>
    <w:rsid w:val="00F07CF8"/>
    <w:rsid w:val="00F109FC"/>
    <w:rsid w:val="00F10C91"/>
    <w:rsid w:val="00F1173C"/>
    <w:rsid w:val="00F131B2"/>
    <w:rsid w:val="00F1448F"/>
    <w:rsid w:val="00F17569"/>
    <w:rsid w:val="00F21282"/>
    <w:rsid w:val="00F213E9"/>
    <w:rsid w:val="00F22079"/>
    <w:rsid w:val="00F23924"/>
    <w:rsid w:val="00F23B64"/>
    <w:rsid w:val="00F310F7"/>
    <w:rsid w:val="00F330B0"/>
    <w:rsid w:val="00F3344A"/>
    <w:rsid w:val="00F33775"/>
    <w:rsid w:val="00F337A5"/>
    <w:rsid w:val="00F338B6"/>
    <w:rsid w:val="00F346D4"/>
    <w:rsid w:val="00F34B84"/>
    <w:rsid w:val="00F36AE4"/>
    <w:rsid w:val="00F40BC4"/>
    <w:rsid w:val="00F40E01"/>
    <w:rsid w:val="00F40F47"/>
    <w:rsid w:val="00F434C5"/>
    <w:rsid w:val="00F474EC"/>
    <w:rsid w:val="00F50873"/>
    <w:rsid w:val="00F5116F"/>
    <w:rsid w:val="00F51B35"/>
    <w:rsid w:val="00F51E2F"/>
    <w:rsid w:val="00F5392C"/>
    <w:rsid w:val="00F53C3C"/>
    <w:rsid w:val="00F62FF1"/>
    <w:rsid w:val="00F631D8"/>
    <w:rsid w:val="00F64CE9"/>
    <w:rsid w:val="00F65A51"/>
    <w:rsid w:val="00F70547"/>
    <w:rsid w:val="00F70FBD"/>
    <w:rsid w:val="00F72A9A"/>
    <w:rsid w:val="00F74091"/>
    <w:rsid w:val="00F76CBF"/>
    <w:rsid w:val="00F8108F"/>
    <w:rsid w:val="00F81B18"/>
    <w:rsid w:val="00F84569"/>
    <w:rsid w:val="00F84A7C"/>
    <w:rsid w:val="00F864D5"/>
    <w:rsid w:val="00F92BD4"/>
    <w:rsid w:val="00F932DA"/>
    <w:rsid w:val="00F977F5"/>
    <w:rsid w:val="00FA0B9D"/>
    <w:rsid w:val="00FA1C5D"/>
    <w:rsid w:val="00FA32B8"/>
    <w:rsid w:val="00FA3E8A"/>
    <w:rsid w:val="00FA56D9"/>
    <w:rsid w:val="00FB0993"/>
    <w:rsid w:val="00FB6E8F"/>
    <w:rsid w:val="00FB7184"/>
    <w:rsid w:val="00FB79CD"/>
    <w:rsid w:val="00FB7D4A"/>
    <w:rsid w:val="00FC4560"/>
    <w:rsid w:val="00FC609F"/>
    <w:rsid w:val="00FC7800"/>
    <w:rsid w:val="00FC79B0"/>
    <w:rsid w:val="00FD10D6"/>
    <w:rsid w:val="00FD1CDF"/>
    <w:rsid w:val="00FD1F98"/>
    <w:rsid w:val="00FD26DB"/>
    <w:rsid w:val="00FD71B0"/>
    <w:rsid w:val="00FD7720"/>
    <w:rsid w:val="00FE0051"/>
    <w:rsid w:val="00FE0E15"/>
    <w:rsid w:val="00FE5EF5"/>
    <w:rsid w:val="00FE7B45"/>
    <w:rsid w:val="00FE7CBB"/>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5D8E472A"/>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link w:val="FooterChar"/>
    <w:uiPriority w:val="99"/>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paragraph" w:styleId="FootnoteText">
    <w:name w:val="footnote text"/>
    <w:basedOn w:val="Normal"/>
    <w:link w:val="FootnoteTextChar"/>
    <w:semiHidden/>
    <w:unhideWhenUsed/>
    <w:rsid w:val="00D22FE3"/>
    <w:pPr>
      <w:spacing w:before="0" w:after="0"/>
    </w:pPr>
    <w:rPr>
      <w:sz w:val="20"/>
      <w:szCs w:val="20"/>
    </w:rPr>
  </w:style>
  <w:style w:type="character" w:customStyle="1" w:styleId="FootnoteTextChar">
    <w:name w:val="Footnote Text Char"/>
    <w:basedOn w:val="DefaultParagraphFont"/>
    <w:link w:val="FootnoteText"/>
    <w:semiHidden/>
    <w:rsid w:val="00D22FE3"/>
    <w:rPr>
      <w:rFonts w:ascii="Arial" w:hAnsi="Arial"/>
    </w:rPr>
  </w:style>
  <w:style w:type="character" w:styleId="FootnoteReference">
    <w:name w:val="footnote reference"/>
    <w:basedOn w:val="DefaultParagraphFont"/>
    <w:semiHidden/>
    <w:unhideWhenUsed/>
    <w:rsid w:val="00D22FE3"/>
    <w:rPr>
      <w:vertAlign w:val="superscript"/>
    </w:rPr>
  </w:style>
  <w:style w:type="table" w:styleId="TableGrid">
    <w:name w:val="Table Grid"/>
    <w:basedOn w:val="TableNormal"/>
    <w:rsid w:val="00D2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715D8"/>
    <w:rPr>
      <w:rFonts w:ascii="Arial" w:hAnsi="Arial"/>
      <w:b/>
      <w:color w:val="00778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328">
      <w:bodyDiv w:val="1"/>
      <w:marLeft w:val="0"/>
      <w:marRight w:val="0"/>
      <w:marTop w:val="0"/>
      <w:marBottom w:val="0"/>
      <w:divBdr>
        <w:top w:val="none" w:sz="0" w:space="0" w:color="auto"/>
        <w:left w:val="none" w:sz="0" w:space="0" w:color="auto"/>
        <w:bottom w:val="none" w:sz="0" w:space="0" w:color="auto"/>
        <w:right w:val="none" w:sz="0" w:space="0" w:color="auto"/>
      </w:divBdr>
    </w:div>
    <w:div w:id="120193104">
      <w:bodyDiv w:val="1"/>
      <w:marLeft w:val="0"/>
      <w:marRight w:val="0"/>
      <w:marTop w:val="0"/>
      <w:marBottom w:val="0"/>
      <w:divBdr>
        <w:top w:val="none" w:sz="0" w:space="0" w:color="auto"/>
        <w:left w:val="none" w:sz="0" w:space="0" w:color="auto"/>
        <w:bottom w:val="none" w:sz="0" w:space="0" w:color="auto"/>
        <w:right w:val="none" w:sz="0" w:space="0" w:color="auto"/>
      </w:divBdr>
    </w:div>
    <w:div w:id="288053662">
      <w:bodyDiv w:val="1"/>
      <w:marLeft w:val="0"/>
      <w:marRight w:val="0"/>
      <w:marTop w:val="0"/>
      <w:marBottom w:val="0"/>
      <w:divBdr>
        <w:top w:val="none" w:sz="0" w:space="0" w:color="auto"/>
        <w:left w:val="none" w:sz="0" w:space="0" w:color="auto"/>
        <w:bottom w:val="none" w:sz="0" w:space="0" w:color="auto"/>
        <w:right w:val="none" w:sz="0" w:space="0" w:color="auto"/>
      </w:divBdr>
    </w:div>
    <w:div w:id="383141603">
      <w:bodyDiv w:val="1"/>
      <w:marLeft w:val="0"/>
      <w:marRight w:val="0"/>
      <w:marTop w:val="0"/>
      <w:marBottom w:val="0"/>
      <w:divBdr>
        <w:top w:val="none" w:sz="0" w:space="0" w:color="auto"/>
        <w:left w:val="none" w:sz="0" w:space="0" w:color="auto"/>
        <w:bottom w:val="none" w:sz="0" w:space="0" w:color="auto"/>
        <w:right w:val="none" w:sz="0" w:space="0" w:color="auto"/>
      </w:divBdr>
    </w:div>
    <w:div w:id="535657066">
      <w:bodyDiv w:val="1"/>
      <w:marLeft w:val="0"/>
      <w:marRight w:val="0"/>
      <w:marTop w:val="0"/>
      <w:marBottom w:val="0"/>
      <w:divBdr>
        <w:top w:val="none" w:sz="0" w:space="0" w:color="auto"/>
        <w:left w:val="none" w:sz="0" w:space="0" w:color="auto"/>
        <w:bottom w:val="none" w:sz="0" w:space="0" w:color="auto"/>
        <w:right w:val="none" w:sz="0" w:space="0" w:color="auto"/>
      </w:divBdr>
    </w:div>
    <w:div w:id="591085222">
      <w:bodyDiv w:val="1"/>
      <w:marLeft w:val="0"/>
      <w:marRight w:val="0"/>
      <w:marTop w:val="0"/>
      <w:marBottom w:val="0"/>
      <w:divBdr>
        <w:top w:val="none" w:sz="0" w:space="0" w:color="auto"/>
        <w:left w:val="none" w:sz="0" w:space="0" w:color="auto"/>
        <w:bottom w:val="none" w:sz="0" w:space="0" w:color="auto"/>
        <w:right w:val="none" w:sz="0" w:space="0" w:color="auto"/>
      </w:divBdr>
    </w:div>
    <w:div w:id="606356511">
      <w:bodyDiv w:val="1"/>
      <w:marLeft w:val="0"/>
      <w:marRight w:val="0"/>
      <w:marTop w:val="0"/>
      <w:marBottom w:val="0"/>
      <w:divBdr>
        <w:top w:val="none" w:sz="0" w:space="0" w:color="auto"/>
        <w:left w:val="none" w:sz="0" w:space="0" w:color="auto"/>
        <w:bottom w:val="none" w:sz="0" w:space="0" w:color="auto"/>
        <w:right w:val="none" w:sz="0" w:space="0" w:color="auto"/>
      </w:divBdr>
    </w:div>
    <w:div w:id="849488328">
      <w:bodyDiv w:val="1"/>
      <w:marLeft w:val="0"/>
      <w:marRight w:val="0"/>
      <w:marTop w:val="0"/>
      <w:marBottom w:val="0"/>
      <w:divBdr>
        <w:top w:val="none" w:sz="0" w:space="0" w:color="auto"/>
        <w:left w:val="none" w:sz="0" w:space="0" w:color="auto"/>
        <w:bottom w:val="none" w:sz="0" w:space="0" w:color="auto"/>
        <w:right w:val="none" w:sz="0" w:space="0" w:color="auto"/>
      </w:divBdr>
    </w:div>
    <w:div w:id="932972599">
      <w:bodyDiv w:val="1"/>
      <w:marLeft w:val="0"/>
      <w:marRight w:val="0"/>
      <w:marTop w:val="0"/>
      <w:marBottom w:val="0"/>
      <w:divBdr>
        <w:top w:val="none" w:sz="0" w:space="0" w:color="auto"/>
        <w:left w:val="none" w:sz="0" w:space="0" w:color="auto"/>
        <w:bottom w:val="none" w:sz="0" w:space="0" w:color="auto"/>
        <w:right w:val="none" w:sz="0" w:space="0" w:color="auto"/>
      </w:divBdr>
    </w:div>
    <w:div w:id="996304025">
      <w:bodyDiv w:val="1"/>
      <w:marLeft w:val="0"/>
      <w:marRight w:val="0"/>
      <w:marTop w:val="0"/>
      <w:marBottom w:val="0"/>
      <w:divBdr>
        <w:top w:val="none" w:sz="0" w:space="0" w:color="auto"/>
        <w:left w:val="none" w:sz="0" w:space="0" w:color="auto"/>
        <w:bottom w:val="none" w:sz="0" w:space="0" w:color="auto"/>
        <w:right w:val="none" w:sz="0" w:space="0" w:color="auto"/>
      </w:divBdr>
    </w:div>
    <w:div w:id="1022171603">
      <w:bodyDiv w:val="1"/>
      <w:marLeft w:val="0"/>
      <w:marRight w:val="0"/>
      <w:marTop w:val="0"/>
      <w:marBottom w:val="0"/>
      <w:divBdr>
        <w:top w:val="none" w:sz="0" w:space="0" w:color="auto"/>
        <w:left w:val="none" w:sz="0" w:space="0" w:color="auto"/>
        <w:bottom w:val="none" w:sz="0" w:space="0" w:color="auto"/>
        <w:right w:val="none" w:sz="0" w:space="0" w:color="auto"/>
      </w:divBdr>
    </w:div>
    <w:div w:id="1086616544">
      <w:bodyDiv w:val="1"/>
      <w:marLeft w:val="0"/>
      <w:marRight w:val="0"/>
      <w:marTop w:val="0"/>
      <w:marBottom w:val="0"/>
      <w:divBdr>
        <w:top w:val="none" w:sz="0" w:space="0" w:color="auto"/>
        <w:left w:val="none" w:sz="0" w:space="0" w:color="auto"/>
        <w:bottom w:val="none" w:sz="0" w:space="0" w:color="auto"/>
        <w:right w:val="none" w:sz="0" w:space="0" w:color="auto"/>
      </w:divBdr>
    </w:div>
    <w:div w:id="1093207288">
      <w:bodyDiv w:val="1"/>
      <w:marLeft w:val="0"/>
      <w:marRight w:val="0"/>
      <w:marTop w:val="0"/>
      <w:marBottom w:val="0"/>
      <w:divBdr>
        <w:top w:val="none" w:sz="0" w:space="0" w:color="auto"/>
        <w:left w:val="none" w:sz="0" w:space="0" w:color="auto"/>
        <w:bottom w:val="none" w:sz="0" w:space="0" w:color="auto"/>
        <w:right w:val="none" w:sz="0" w:space="0" w:color="auto"/>
      </w:divBdr>
    </w:div>
    <w:div w:id="1156189196">
      <w:bodyDiv w:val="1"/>
      <w:marLeft w:val="0"/>
      <w:marRight w:val="0"/>
      <w:marTop w:val="0"/>
      <w:marBottom w:val="0"/>
      <w:divBdr>
        <w:top w:val="none" w:sz="0" w:space="0" w:color="auto"/>
        <w:left w:val="none" w:sz="0" w:space="0" w:color="auto"/>
        <w:bottom w:val="none" w:sz="0" w:space="0" w:color="auto"/>
        <w:right w:val="none" w:sz="0" w:space="0" w:color="auto"/>
      </w:divBdr>
    </w:div>
    <w:div w:id="1258054712">
      <w:bodyDiv w:val="1"/>
      <w:marLeft w:val="0"/>
      <w:marRight w:val="0"/>
      <w:marTop w:val="0"/>
      <w:marBottom w:val="0"/>
      <w:divBdr>
        <w:top w:val="none" w:sz="0" w:space="0" w:color="auto"/>
        <w:left w:val="none" w:sz="0" w:space="0" w:color="auto"/>
        <w:bottom w:val="none" w:sz="0" w:space="0" w:color="auto"/>
        <w:right w:val="none" w:sz="0" w:space="0" w:color="auto"/>
      </w:divBdr>
    </w:div>
    <w:div w:id="1348362629">
      <w:bodyDiv w:val="1"/>
      <w:marLeft w:val="0"/>
      <w:marRight w:val="0"/>
      <w:marTop w:val="0"/>
      <w:marBottom w:val="0"/>
      <w:divBdr>
        <w:top w:val="none" w:sz="0" w:space="0" w:color="auto"/>
        <w:left w:val="none" w:sz="0" w:space="0" w:color="auto"/>
        <w:bottom w:val="none" w:sz="0" w:space="0" w:color="auto"/>
        <w:right w:val="none" w:sz="0" w:space="0" w:color="auto"/>
      </w:divBdr>
    </w:div>
    <w:div w:id="1381057452">
      <w:bodyDiv w:val="1"/>
      <w:marLeft w:val="0"/>
      <w:marRight w:val="0"/>
      <w:marTop w:val="0"/>
      <w:marBottom w:val="0"/>
      <w:divBdr>
        <w:top w:val="none" w:sz="0" w:space="0" w:color="auto"/>
        <w:left w:val="none" w:sz="0" w:space="0" w:color="auto"/>
        <w:bottom w:val="none" w:sz="0" w:space="0" w:color="auto"/>
        <w:right w:val="none" w:sz="0" w:space="0" w:color="auto"/>
      </w:divBdr>
    </w:div>
    <w:div w:id="1528368188">
      <w:bodyDiv w:val="1"/>
      <w:marLeft w:val="0"/>
      <w:marRight w:val="0"/>
      <w:marTop w:val="0"/>
      <w:marBottom w:val="0"/>
      <w:divBdr>
        <w:top w:val="none" w:sz="0" w:space="0" w:color="auto"/>
        <w:left w:val="none" w:sz="0" w:space="0" w:color="auto"/>
        <w:bottom w:val="none" w:sz="0" w:space="0" w:color="auto"/>
        <w:right w:val="none" w:sz="0" w:space="0" w:color="auto"/>
      </w:divBdr>
    </w:div>
    <w:div w:id="1611477113">
      <w:bodyDiv w:val="1"/>
      <w:marLeft w:val="0"/>
      <w:marRight w:val="0"/>
      <w:marTop w:val="0"/>
      <w:marBottom w:val="0"/>
      <w:divBdr>
        <w:top w:val="none" w:sz="0" w:space="0" w:color="auto"/>
        <w:left w:val="none" w:sz="0" w:space="0" w:color="auto"/>
        <w:bottom w:val="none" w:sz="0" w:space="0" w:color="auto"/>
        <w:right w:val="none" w:sz="0" w:space="0" w:color="auto"/>
      </w:divBdr>
    </w:div>
    <w:div w:id="1671373673">
      <w:bodyDiv w:val="1"/>
      <w:marLeft w:val="0"/>
      <w:marRight w:val="0"/>
      <w:marTop w:val="0"/>
      <w:marBottom w:val="0"/>
      <w:divBdr>
        <w:top w:val="none" w:sz="0" w:space="0" w:color="auto"/>
        <w:left w:val="none" w:sz="0" w:space="0" w:color="auto"/>
        <w:bottom w:val="none" w:sz="0" w:space="0" w:color="auto"/>
        <w:right w:val="none" w:sz="0" w:space="0" w:color="auto"/>
      </w:divBdr>
    </w:div>
    <w:div w:id="20293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sgsep.com.au/projects/rental-affordability-index" TargetMode="External"/><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hyperlink" Target="https://www.facs.nsw.gov.au/resources/nsw-local-government-housing-kit/chapters/local-government-housing-kit-database"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hyperlink" Target="https://www.facs.nsw.gov.au/resources/statistics/rent-and-sales/dashboard"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hyperlink" Target="https://www.reinsw.com.au/Web/Web/Members/Property_data/Vacancy_Rates_Surve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97245-EEBF-4B1A-8EC1-53170D47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681</TotalTime>
  <Pages>22</Pages>
  <Words>3764</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25169</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Hunter - What's happening in the housing market</dc:title>
  <dc:creator>Laura Yan Guo</dc:creator>
  <cp:lastModifiedBy>JOSHUA YOUKHANA</cp:lastModifiedBy>
  <cp:revision>107</cp:revision>
  <cp:lastPrinted>1900-12-31T14:00:00Z</cp:lastPrinted>
  <dcterms:created xsi:type="dcterms:W3CDTF">2022-11-30T05:17:00Z</dcterms:created>
  <dcterms:modified xsi:type="dcterms:W3CDTF">2023-09-12T00:25:00Z</dcterms:modified>
</cp:coreProperties>
</file>