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46F" w14:textId="77777777" w:rsidR="0050388E" w:rsidRPr="00CE3DDD" w:rsidRDefault="0050388E" w:rsidP="0050388E">
      <w:pPr>
        <w:rPr>
          <w:color w:val="008000"/>
          <w:sz w:val="32"/>
        </w:rPr>
      </w:pPr>
      <w:r>
        <w:rPr>
          <w:b/>
          <w:color w:val="008000"/>
          <w:sz w:val="32"/>
        </w:rPr>
        <w:t xml:space="preserve">North Coast Region </w:t>
      </w:r>
      <w:r w:rsidRPr="00CE3DDD">
        <w:rPr>
          <w:b/>
          <w:color w:val="008000"/>
          <w:sz w:val="32"/>
        </w:rPr>
        <w:t xml:space="preserve">– What’s </w:t>
      </w:r>
      <w:r>
        <w:rPr>
          <w:b/>
          <w:color w:val="008000"/>
          <w:sz w:val="32"/>
        </w:rPr>
        <w:t xml:space="preserve">Happening in </w:t>
      </w:r>
      <w:r w:rsidRPr="00CE3DDD">
        <w:rPr>
          <w:b/>
          <w:color w:val="008000"/>
          <w:sz w:val="32"/>
        </w:rPr>
        <w:t>the</w:t>
      </w:r>
      <w:r>
        <w:rPr>
          <w:b/>
          <w:color w:val="008000"/>
          <w:sz w:val="32"/>
        </w:rPr>
        <w:t xml:space="preserve"> Housing Market</w:t>
      </w:r>
      <w:r w:rsidRPr="00CE3DDD">
        <w:rPr>
          <w:b/>
          <w:color w:val="008000"/>
          <w:sz w:val="32"/>
        </w:rPr>
        <w:t>?</w:t>
      </w:r>
    </w:p>
    <w:p w14:paraId="3FDD2B99" w14:textId="77777777" w:rsidR="0090108E" w:rsidRDefault="0090108E" w:rsidP="0090108E">
      <w:pPr>
        <w:rPr>
          <w:sz w:val="22"/>
          <w:szCs w:val="22"/>
        </w:rPr>
      </w:pPr>
      <w:r>
        <w:rPr>
          <w:sz w:val="22"/>
          <w:szCs w:val="22"/>
        </w:rPr>
        <w:t xml:space="preserve">This Housing Snapshot looks at aspects of the housing market in the North Coast,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22DE6C0B" w14:textId="77777777" w:rsidR="002421FA" w:rsidRDefault="0050388E" w:rsidP="0050388E">
      <w:pPr>
        <w:rPr>
          <w:sz w:val="22"/>
          <w:szCs w:val="22"/>
        </w:rPr>
      </w:pPr>
      <w:r w:rsidRPr="002421FA">
        <w:rPr>
          <w:sz w:val="22"/>
          <w:szCs w:val="22"/>
        </w:rPr>
        <w:t xml:space="preserve">The North Coast region covers twelve local government areas on the north coast and immediate hinterland, including significant regional centres.  While there are differences across the region in median rent and house prices and rent and house price growth, there has been a reduction in both rental and purchase affordability in every LGA in the region and a loss of affordable rental housing.  </w:t>
      </w:r>
    </w:p>
    <w:p w14:paraId="49E3A535" w14:textId="77777777" w:rsidR="002B2D5B" w:rsidRPr="002B2D5B" w:rsidRDefault="002B2D5B" w:rsidP="0050388E">
      <w:pPr>
        <w:rPr>
          <w:sz w:val="22"/>
          <w:szCs w:val="22"/>
        </w:rPr>
      </w:pPr>
      <w:r w:rsidRPr="002B2D5B">
        <w:rPr>
          <w:sz w:val="22"/>
          <w:szCs w:val="22"/>
        </w:rPr>
        <w:t xml:space="preserve">Significant changes have occurred since the 2016 Census, with Covid </w:t>
      </w:r>
      <w:r w:rsidR="00B344DC">
        <w:rPr>
          <w:sz w:val="22"/>
          <w:szCs w:val="22"/>
        </w:rPr>
        <w:t xml:space="preserve">causing significant outmigration from cities to regional areas </w:t>
      </w:r>
      <w:r w:rsidRPr="002B2D5B">
        <w:rPr>
          <w:sz w:val="22"/>
          <w:szCs w:val="22"/>
        </w:rPr>
        <w:t>and flood</w:t>
      </w:r>
      <w:r w:rsidR="00B344DC">
        <w:rPr>
          <w:sz w:val="22"/>
          <w:szCs w:val="22"/>
        </w:rPr>
        <w:t xml:space="preserve"> affected regions suffering adverse impacts to rental affordability. </w:t>
      </w:r>
      <w:r w:rsidRPr="002B2D5B">
        <w:rPr>
          <w:sz w:val="22"/>
          <w:szCs w:val="22"/>
        </w:rPr>
        <w:t xml:space="preserve"> </w:t>
      </w:r>
      <w:r w:rsidR="00127518">
        <w:rPr>
          <w:sz w:val="22"/>
          <w:szCs w:val="22"/>
        </w:rPr>
        <w:t>More recently additional cost of living pressures</w:t>
      </w:r>
      <w:r w:rsidR="00A45246">
        <w:rPr>
          <w:sz w:val="22"/>
          <w:szCs w:val="22"/>
        </w:rPr>
        <w:t>,</w:t>
      </w:r>
      <w:r w:rsidR="00127518">
        <w:rPr>
          <w:sz w:val="22"/>
          <w:szCs w:val="22"/>
        </w:rPr>
        <w:t xml:space="preserve"> including </w:t>
      </w:r>
      <w:r w:rsidR="00A45246">
        <w:rPr>
          <w:sz w:val="22"/>
          <w:szCs w:val="22"/>
        </w:rPr>
        <w:t xml:space="preserve">rising </w:t>
      </w:r>
      <w:r w:rsidR="00127518">
        <w:rPr>
          <w:sz w:val="22"/>
          <w:szCs w:val="22"/>
        </w:rPr>
        <w:t xml:space="preserve">inflation </w:t>
      </w:r>
      <w:r w:rsidR="00A45246">
        <w:rPr>
          <w:sz w:val="22"/>
          <w:szCs w:val="22"/>
        </w:rPr>
        <w:t>and interest rates</w:t>
      </w:r>
      <w:r w:rsidR="00127518">
        <w:rPr>
          <w:sz w:val="22"/>
          <w:szCs w:val="22"/>
        </w:rPr>
        <w:t xml:space="preserve"> with continued low wage growth</w:t>
      </w:r>
      <w:r w:rsidR="00A45246">
        <w:rPr>
          <w:sz w:val="22"/>
          <w:szCs w:val="22"/>
        </w:rPr>
        <w:t>,</w:t>
      </w:r>
      <w:r w:rsidR="00127518">
        <w:rPr>
          <w:sz w:val="22"/>
          <w:szCs w:val="22"/>
        </w:rPr>
        <w:t xml:space="preserve"> ha</w:t>
      </w:r>
      <w:r w:rsidR="00A45246">
        <w:rPr>
          <w:sz w:val="22"/>
          <w:szCs w:val="22"/>
        </w:rPr>
        <w:t>ve</w:t>
      </w:r>
      <w:r w:rsidR="00127518">
        <w:rPr>
          <w:sz w:val="22"/>
          <w:szCs w:val="22"/>
        </w:rPr>
        <w:t xml:space="preserve"> created additional problems for lower income earners and their capacity to manage housing costs.</w:t>
      </w:r>
      <w:r w:rsidR="00B344DC">
        <w:rPr>
          <w:sz w:val="22"/>
          <w:szCs w:val="22"/>
        </w:rPr>
        <w:t xml:space="preserve">  </w:t>
      </w:r>
    </w:p>
    <w:p w14:paraId="3D45B979" w14:textId="77777777" w:rsidR="0050388E" w:rsidRDefault="0050388E" w:rsidP="0050388E"/>
    <w:p w14:paraId="36E91AEB" w14:textId="77777777" w:rsidR="0050388E" w:rsidRPr="00A05F0B" w:rsidRDefault="0050388E" w:rsidP="0050388E">
      <w:pPr>
        <w:rPr>
          <w:b/>
          <w:bCs/>
          <w:i/>
          <w:color w:val="008000"/>
          <w:sz w:val="32"/>
        </w:rPr>
      </w:pPr>
      <w:r>
        <w:rPr>
          <w:b/>
          <w:bCs/>
          <w:i/>
          <w:color w:val="008000"/>
          <w:sz w:val="32"/>
        </w:rPr>
        <w:t>Housing Market - Rental</w:t>
      </w:r>
    </w:p>
    <w:p w14:paraId="27BA798C" w14:textId="77777777" w:rsidR="0050388E" w:rsidRPr="001C58F3" w:rsidRDefault="0050388E" w:rsidP="0050388E">
      <w:pPr>
        <w:rPr>
          <w:b/>
          <w:color w:val="008000"/>
          <w:sz w:val="32"/>
        </w:rPr>
      </w:pPr>
      <w:r>
        <w:rPr>
          <w:b/>
          <w:color w:val="008000"/>
          <w:sz w:val="32"/>
        </w:rPr>
        <w:t>Rents</w:t>
      </w:r>
    </w:p>
    <w:p w14:paraId="37D5B0F9" w14:textId="77777777" w:rsidR="0033003D" w:rsidRDefault="00953BFA" w:rsidP="0033003D">
      <w:pPr>
        <w:pStyle w:val="ListParagraph"/>
        <w:numPr>
          <w:ilvl w:val="0"/>
          <w:numId w:val="37"/>
        </w:numPr>
        <w:spacing w:before="0" w:after="0"/>
        <w:rPr>
          <w:sz w:val="22"/>
          <w:szCs w:val="22"/>
        </w:rPr>
      </w:pPr>
      <w:r w:rsidRPr="00953BFA">
        <w:rPr>
          <w:sz w:val="22"/>
          <w:szCs w:val="22"/>
        </w:rPr>
        <w:t>While</w:t>
      </w:r>
      <w:r>
        <w:rPr>
          <w:sz w:val="22"/>
          <w:szCs w:val="22"/>
        </w:rPr>
        <w:t xml:space="preserve"> the graph </w:t>
      </w:r>
      <w:r w:rsidR="00AC7CED">
        <w:rPr>
          <w:sz w:val="22"/>
          <w:szCs w:val="22"/>
        </w:rPr>
        <w:t xml:space="preserve">and table </w:t>
      </w:r>
      <w:r>
        <w:rPr>
          <w:sz w:val="22"/>
          <w:szCs w:val="22"/>
        </w:rPr>
        <w:t>below show very strong recent increase</w:t>
      </w:r>
      <w:r w:rsidR="00DA30F6">
        <w:rPr>
          <w:sz w:val="22"/>
          <w:szCs w:val="22"/>
        </w:rPr>
        <w:t>s</w:t>
      </w:r>
      <w:r>
        <w:rPr>
          <w:sz w:val="22"/>
          <w:szCs w:val="22"/>
        </w:rPr>
        <w:t xml:space="preserve"> in the median rent</w:t>
      </w:r>
      <w:r w:rsidR="00DA30F6">
        <w:rPr>
          <w:sz w:val="22"/>
          <w:szCs w:val="22"/>
        </w:rPr>
        <w:t>s</w:t>
      </w:r>
      <w:r>
        <w:rPr>
          <w:sz w:val="22"/>
          <w:szCs w:val="22"/>
        </w:rPr>
        <w:t xml:space="preserve"> for all dwellings (all bedroom categories and all dwelling types)</w:t>
      </w:r>
      <w:r w:rsidR="00DA30F6">
        <w:rPr>
          <w:sz w:val="22"/>
          <w:szCs w:val="22"/>
        </w:rPr>
        <w:t xml:space="preserve"> in the local government areas of the North Coast</w:t>
      </w:r>
      <w:r>
        <w:rPr>
          <w:sz w:val="22"/>
          <w:szCs w:val="22"/>
        </w:rPr>
        <w:t>, the story is more nuanced.</w:t>
      </w:r>
    </w:p>
    <w:p w14:paraId="1BF31461" w14:textId="77777777" w:rsidR="00953BFA" w:rsidRDefault="00953BFA" w:rsidP="00953BFA">
      <w:pPr>
        <w:spacing w:before="0" w:after="0"/>
        <w:rPr>
          <w:sz w:val="22"/>
          <w:szCs w:val="22"/>
        </w:rPr>
      </w:pPr>
    </w:p>
    <w:p w14:paraId="5761917F" w14:textId="77777777" w:rsidR="00953BFA" w:rsidRDefault="00953BFA" w:rsidP="00953BFA">
      <w:pPr>
        <w:spacing w:before="0" w:after="0"/>
        <w:rPr>
          <w:sz w:val="22"/>
          <w:szCs w:val="22"/>
        </w:rPr>
      </w:pPr>
      <w:r>
        <w:rPr>
          <w:noProof/>
          <w:sz w:val="22"/>
          <w:szCs w:val="22"/>
        </w:rPr>
        <w:drawing>
          <wp:inline distT="0" distB="0" distL="0" distR="0" wp14:anchorId="75D04768" wp14:editId="525044CF">
            <wp:extent cx="5888990" cy="251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8990" cy="2517775"/>
                    </a:xfrm>
                    <a:prstGeom prst="rect">
                      <a:avLst/>
                    </a:prstGeom>
                    <a:noFill/>
                  </pic:spPr>
                </pic:pic>
              </a:graphicData>
            </a:graphic>
          </wp:inline>
        </w:drawing>
      </w:r>
    </w:p>
    <w:p w14:paraId="5517A12F" w14:textId="77777777" w:rsidR="00953BFA" w:rsidRPr="00953BFA" w:rsidRDefault="00953BFA" w:rsidP="00953BFA">
      <w:pPr>
        <w:spacing w:before="0" w:after="0"/>
        <w:rPr>
          <w:sz w:val="22"/>
          <w:szCs w:val="22"/>
        </w:rPr>
      </w:pPr>
    </w:p>
    <w:p w14:paraId="068F5F12" w14:textId="77777777" w:rsidR="00AC7CED" w:rsidRDefault="00AC7CED" w:rsidP="00AC7CED">
      <w:pPr>
        <w:spacing w:before="0" w:after="0"/>
        <w:rPr>
          <w:sz w:val="22"/>
          <w:szCs w:val="22"/>
        </w:rPr>
      </w:pPr>
      <w:r>
        <w:rPr>
          <w:sz w:val="22"/>
          <w:szCs w:val="22"/>
        </w:rPr>
        <w:lastRenderedPageBreak/>
        <w:tab/>
      </w:r>
      <w:r w:rsidR="00945C29" w:rsidRPr="00945C29">
        <w:rPr>
          <w:noProof/>
        </w:rPr>
        <w:drawing>
          <wp:inline distT="0" distB="0" distL="0" distR="0" wp14:anchorId="6C6CA5EB" wp14:editId="1F2617B8">
            <wp:extent cx="3194685" cy="267208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5" cy="2672080"/>
                    </a:xfrm>
                    <a:prstGeom prst="rect">
                      <a:avLst/>
                    </a:prstGeom>
                    <a:noFill/>
                    <a:ln>
                      <a:noFill/>
                    </a:ln>
                  </pic:spPr>
                </pic:pic>
              </a:graphicData>
            </a:graphic>
          </wp:inline>
        </w:drawing>
      </w:r>
    </w:p>
    <w:p w14:paraId="453EE498" w14:textId="77777777" w:rsidR="00AC7CED" w:rsidRPr="00AC7CED" w:rsidRDefault="00AC7CED" w:rsidP="00AC7CED">
      <w:pPr>
        <w:spacing w:before="0" w:after="0"/>
        <w:rPr>
          <w:sz w:val="22"/>
          <w:szCs w:val="22"/>
        </w:rPr>
      </w:pPr>
    </w:p>
    <w:p w14:paraId="18D477C2" w14:textId="77777777" w:rsidR="00953BFA" w:rsidRDefault="00953BFA" w:rsidP="0033003D">
      <w:pPr>
        <w:pStyle w:val="ListParagraph"/>
        <w:numPr>
          <w:ilvl w:val="0"/>
          <w:numId w:val="37"/>
        </w:numPr>
        <w:spacing w:before="0" w:after="0"/>
        <w:rPr>
          <w:sz w:val="22"/>
          <w:szCs w:val="22"/>
        </w:rPr>
      </w:pPr>
      <w:r>
        <w:rPr>
          <w:sz w:val="22"/>
          <w:szCs w:val="22"/>
        </w:rPr>
        <w:t xml:space="preserve">Between 2019 and 2020 when Covid lockdowns were introduced, median rents in most bedroom categories in most North Coast local government areas were fairly stable – </w:t>
      </w:r>
      <w:r w:rsidR="00DE3D7E">
        <w:rPr>
          <w:sz w:val="22"/>
          <w:szCs w:val="22"/>
        </w:rPr>
        <w:t xml:space="preserve">with no change, </w:t>
      </w:r>
      <w:r>
        <w:rPr>
          <w:sz w:val="22"/>
          <w:szCs w:val="22"/>
        </w:rPr>
        <w:t>slight increases or slight decreases in median rents as the table below demonstrates.</w:t>
      </w:r>
      <w:r w:rsidR="00117592">
        <w:rPr>
          <w:sz w:val="22"/>
          <w:szCs w:val="22"/>
        </w:rPr>
        <w:t xml:space="preserve"> </w:t>
      </w:r>
    </w:p>
    <w:p w14:paraId="2A030D78" w14:textId="77777777" w:rsidR="00117592" w:rsidRDefault="00117592" w:rsidP="0033003D">
      <w:pPr>
        <w:pStyle w:val="ListParagraph"/>
        <w:numPr>
          <w:ilvl w:val="0"/>
          <w:numId w:val="37"/>
        </w:numPr>
        <w:spacing w:before="0" w:after="0"/>
        <w:rPr>
          <w:sz w:val="22"/>
          <w:szCs w:val="22"/>
        </w:rPr>
      </w:pPr>
      <w:r>
        <w:rPr>
          <w:sz w:val="22"/>
          <w:szCs w:val="22"/>
        </w:rPr>
        <w:t>During that period, the largest percentage drop in median rents was in Byron LGA for three bedroom homes (</w:t>
      </w:r>
      <w:r w:rsidR="004434CA">
        <w:rPr>
          <w:sz w:val="22"/>
          <w:szCs w:val="22"/>
        </w:rPr>
        <w:t>-</w:t>
      </w:r>
      <w:r>
        <w:rPr>
          <w:sz w:val="22"/>
          <w:szCs w:val="22"/>
        </w:rPr>
        <w:t>7.7%) while the biggest increase was for one bedroom homes in Clarence Valley (13.6%).</w:t>
      </w:r>
    </w:p>
    <w:p w14:paraId="52286CB7" w14:textId="77777777" w:rsidR="00953BFA" w:rsidRDefault="00953BFA" w:rsidP="00953BFA">
      <w:pPr>
        <w:spacing w:before="0" w:after="0"/>
        <w:rPr>
          <w:sz w:val="22"/>
          <w:szCs w:val="22"/>
        </w:rPr>
      </w:pPr>
    </w:p>
    <w:p w14:paraId="73DF8431" w14:textId="77777777" w:rsidR="00D64940" w:rsidRDefault="00D64940" w:rsidP="00953BFA">
      <w:pPr>
        <w:spacing w:before="0" w:after="0"/>
        <w:rPr>
          <w:sz w:val="22"/>
          <w:szCs w:val="22"/>
        </w:rPr>
      </w:pPr>
      <w:r w:rsidRPr="00D64940">
        <w:rPr>
          <w:noProof/>
        </w:rPr>
        <w:drawing>
          <wp:inline distT="0" distB="0" distL="0" distR="0" wp14:anchorId="13689E53" wp14:editId="2F8E9DA3">
            <wp:extent cx="6100914" cy="1857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252" cy="1863567"/>
                    </a:xfrm>
                    <a:prstGeom prst="rect">
                      <a:avLst/>
                    </a:prstGeom>
                    <a:noFill/>
                    <a:ln>
                      <a:noFill/>
                    </a:ln>
                  </pic:spPr>
                </pic:pic>
              </a:graphicData>
            </a:graphic>
          </wp:inline>
        </w:drawing>
      </w:r>
    </w:p>
    <w:p w14:paraId="60DF323A" w14:textId="77777777" w:rsidR="002713D5" w:rsidRDefault="002713D5" w:rsidP="00953BFA">
      <w:pPr>
        <w:spacing w:before="0" w:after="0"/>
        <w:rPr>
          <w:sz w:val="22"/>
          <w:szCs w:val="22"/>
        </w:rPr>
      </w:pPr>
    </w:p>
    <w:p w14:paraId="6D96C098" w14:textId="77777777" w:rsidR="00953BFA" w:rsidRDefault="00DE3D7E" w:rsidP="0033003D">
      <w:pPr>
        <w:pStyle w:val="ListParagraph"/>
        <w:numPr>
          <w:ilvl w:val="0"/>
          <w:numId w:val="37"/>
        </w:numPr>
        <w:spacing w:before="0" w:after="0"/>
        <w:rPr>
          <w:sz w:val="22"/>
          <w:szCs w:val="22"/>
        </w:rPr>
      </w:pPr>
      <w:r>
        <w:rPr>
          <w:sz w:val="22"/>
          <w:szCs w:val="22"/>
        </w:rPr>
        <w:t>However, between 2020 and 2022 when Covid restrictions were relaxed, there were strong increases in median rents across the region, as the table below shows.</w:t>
      </w:r>
      <w:r w:rsidR="00E71BEA">
        <w:rPr>
          <w:sz w:val="22"/>
          <w:szCs w:val="22"/>
        </w:rPr>
        <w:t xml:space="preserve">  (The largest percentage inc</w:t>
      </w:r>
      <w:r w:rsidR="00126148">
        <w:rPr>
          <w:sz w:val="22"/>
          <w:szCs w:val="22"/>
        </w:rPr>
        <w:t>reases are highlighted in pink and the largest numerical increases in dollar terms are highlighted in yellow.)</w:t>
      </w:r>
    </w:p>
    <w:p w14:paraId="4B678C24" w14:textId="77777777" w:rsidR="00117592" w:rsidRDefault="00117592" w:rsidP="0033003D">
      <w:pPr>
        <w:pStyle w:val="ListParagraph"/>
        <w:numPr>
          <w:ilvl w:val="0"/>
          <w:numId w:val="37"/>
        </w:numPr>
        <w:spacing w:before="0" w:after="0"/>
        <w:rPr>
          <w:sz w:val="22"/>
          <w:szCs w:val="22"/>
        </w:rPr>
      </w:pPr>
      <w:r>
        <w:rPr>
          <w:sz w:val="22"/>
          <w:szCs w:val="22"/>
        </w:rPr>
        <w:t>Generally Ballina</w:t>
      </w:r>
      <w:r w:rsidR="00DE0007">
        <w:rPr>
          <w:sz w:val="22"/>
          <w:szCs w:val="22"/>
        </w:rPr>
        <w:t xml:space="preserve"> ($202 for 4 bedroom)</w:t>
      </w:r>
      <w:r>
        <w:rPr>
          <w:sz w:val="22"/>
          <w:szCs w:val="22"/>
        </w:rPr>
        <w:t>, Byron</w:t>
      </w:r>
      <w:r w:rsidR="00DE0007">
        <w:rPr>
          <w:sz w:val="22"/>
          <w:szCs w:val="22"/>
        </w:rPr>
        <w:t xml:space="preserve"> ($475 for 4 bedroom)</w:t>
      </w:r>
      <w:r>
        <w:rPr>
          <w:sz w:val="22"/>
          <w:szCs w:val="22"/>
        </w:rPr>
        <w:t xml:space="preserve"> and Tweed </w:t>
      </w:r>
      <w:r w:rsidR="00DE0007">
        <w:rPr>
          <w:sz w:val="22"/>
          <w:szCs w:val="22"/>
        </w:rPr>
        <w:t xml:space="preserve">($220 for 4 bedroom) </w:t>
      </w:r>
      <w:r>
        <w:rPr>
          <w:sz w:val="22"/>
          <w:szCs w:val="22"/>
        </w:rPr>
        <w:t xml:space="preserve">experienced the largest increases in rents in dollar terms.  </w:t>
      </w:r>
      <w:r w:rsidR="00C46238">
        <w:rPr>
          <w:sz w:val="22"/>
          <w:szCs w:val="22"/>
        </w:rPr>
        <w:t>Note that Coffs Harbour, Lismore and Port Macquarie-Hastings also experienced strong dollar increases in median rents over this period.</w:t>
      </w:r>
    </w:p>
    <w:p w14:paraId="5E7823E8" w14:textId="77777777" w:rsidR="00117592" w:rsidRDefault="00117592" w:rsidP="0033003D">
      <w:pPr>
        <w:pStyle w:val="ListParagraph"/>
        <w:numPr>
          <w:ilvl w:val="0"/>
          <w:numId w:val="37"/>
        </w:numPr>
        <w:spacing w:before="0" w:after="0"/>
        <w:rPr>
          <w:sz w:val="22"/>
          <w:szCs w:val="22"/>
        </w:rPr>
      </w:pPr>
      <w:r>
        <w:rPr>
          <w:sz w:val="22"/>
          <w:szCs w:val="22"/>
        </w:rPr>
        <w:t xml:space="preserve">In percentage terms, increases in median rents were </w:t>
      </w:r>
      <w:r w:rsidR="00234D53">
        <w:rPr>
          <w:sz w:val="22"/>
          <w:szCs w:val="22"/>
        </w:rPr>
        <w:t xml:space="preserve">robust </w:t>
      </w:r>
      <w:r>
        <w:rPr>
          <w:sz w:val="22"/>
          <w:szCs w:val="22"/>
        </w:rPr>
        <w:t xml:space="preserve">across all </w:t>
      </w:r>
      <w:r w:rsidR="00945C29">
        <w:rPr>
          <w:sz w:val="22"/>
          <w:szCs w:val="22"/>
        </w:rPr>
        <w:t>LGAS</w:t>
      </w:r>
      <w:r>
        <w:rPr>
          <w:sz w:val="22"/>
          <w:szCs w:val="22"/>
        </w:rPr>
        <w:t>s and bedroom categories in the North Coast, with Lismore also experiencing strong rental rises</w:t>
      </w:r>
      <w:r w:rsidR="00DE0007">
        <w:rPr>
          <w:sz w:val="22"/>
          <w:szCs w:val="22"/>
        </w:rPr>
        <w:t xml:space="preserve"> (37.6% for 3 bedroom)</w:t>
      </w:r>
      <w:r w:rsidR="004203F1">
        <w:rPr>
          <w:sz w:val="22"/>
          <w:szCs w:val="22"/>
        </w:rPr>
        <w:t xml:space="preserve">.  Many parts of the North Coast experienced significant flooding over this time period and the </w:t>
      </w:r>
      <w:r w:rsidR="00234D53">
        <w:rPr>
          <w:sz w:val="22"/>
          <w:szCs w:val="22"/>
        </w:rPr>
        <w:t xml:space="preserve">large </w:t>
      </w:r>
      <w:r w:rsidR="004203F1">
        <w:rPr>
          <w:sz w:val="22"/>
          <w:szCs w:val="22"/>
        </w:rPr>
        <w:t xml:space="preserve">increases in </w:t>
      </w:r>
      <w:r w:rsidR="004203F1">
        <w:rPr>
          <w:sz w:val="22"/>
          <w:szCs w:val="22"/>
        </w:rPr>
        <w:lastRenderedPageBreak/>
        <w:t xml:space="preserve">rents in places such as Lismore indicate strong demand with diminished supply due to loss of stock in the floods. </w:t>
      </w:r>
    </w:p>
    <w:p w14:paraId="42066B86" w14:textId="77777777" w:rsidR="004434CA" w:rsidRDefault="004434CA" w:rsidP="0033003D">
      <w:pPr>
        <w:pStyle w:val="ListParagraph"/>
        <w:numPr>
          <w:ilvl w:val="0"/>
          <w:numId w:val="37"/>
        </w:numPr>
        <w:spacing w:before="0" w:after="0"/>
        <w:rPr>
          <w:sz w:val="22"/>
          <w:szCs w:val="22"/>
        </w:rPr>
      </w:pPr>
      <w:r>
        <w:rPr>
          <w:sz w:val="22"/>
          <w:szCs w:val="22"/>
        </w:rPr>
        <w:t>Overall the highest percentage increase in median rents between June 2020 and June 2022 was for four bedroom homes in Byron (65.5%), followed by three bedroom homes in Byron (50.0%) and Ballina (40.0%) and one bedroom homes in Byron (40.0%).</w:t>
      </w:r>
    </w:p>
    <w:p w14:paraId="0B57D145" w14:textId="77777777" w:rsidR="00DE3D7E" w:rsidRDefault="00DE3D7E" w:rsidP="00DE3D7E">
      <w:pPr>
        <w:spacing w:before="0" w:after="0"/>
        <w:rPr>
          <w:sz w:val="22"/>
          <w:szCs w:val="22"/>
        </w:rPr>
      </w:pPr>
    </w:p>
    <w:p w14:paraId="4303F286" w14:textId="77777777" w:rsidR="00DE3D7E" w:rsidRPr="00DE3D7E" w:rsidRDefault="007759EE" w:rsidP="00DE3D7E">
      <w:pPr>
        <w:spacing w:before="0" w:after="0"/>
        <w:rPr>
          <w:sz w:val="22"/>
          <w:szCs w:val="22"/>
        </w:rPr>
      </w:pPr>
      <w:r w:rsidRPr="007759EE">
        <w:rPr>
          <w:noProof/>
        </w:rPr>
        <w:drawing>
          <wp:inline distT="0" distB="0" distL="0" distR="0" wp14:anchorId="0D4234A2" wp14:editId="3FE9EA17">
            <wp:extent cx="6100914" cy="1857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7862" cy="1859490"/>
                    </a:xfrm>
                    <a:prstGeom prst="rect">
                      <a:avLst/>
                    </a:prstGeom>
                    <a:noFill/>
                    <a:ln>
                      <a:noFill/>
                    </a:ln>
                  </pic:spPr>
                </pic:pic>
              </a:graphicData>
            </a:graphic>
          </wp:inline>
        </w:drawing>
      </w:r>
    </w:p>
    <w:p w14:paraId="6CFAD155" w14:textId="77777777" w:rsidR="0050388E" w:rsidRDefault="0050388E" w:rsidP="0050388E">
      <w:pPr>
        <w:rPr>
          <w:b/>
          <w:color w:val="008000"/>
          <w:sz w:val="32"/>
        </w:rPr>
      </w:pPr>
    </w:p>
    <w:p w14:paraId="6D3DABBA" w14:textId="77777777" w:rsidR="0050388E" w:rsidRPr="001C58F3" w:rsidRDefault="0050388E" w:rsidP="0050388E">
      <w:pPr>
        <w:rPr>
          <w:b/>
          <w:color w:val="008000"/>
          <w:sz w:val="32"/>
        </w:rPr>
      </w:pPr>
      <w:r>
        <w:rPr>
          <w:b/>
          <w:color w:val="008000"/>
          <w:sz w:val="32"/>
        </w:rPr>
        <w:t>Vacancy Rate</w:t>
      </w:r>
    </w:p>
    <w:p w14:paraId="71F1F687" w14:textId="77777777" w:rsidR="006B6A58" w:rsidRDefault="006B6A58" w:rsidP="006B6A58">
      <w:pPr>
        <w:numPr>
          <w:ilvl w:val="0"/>
          <w:numId w:val="18"/>
        </w:numPr>
        <w:spacing w:before="0" w:after="0"/>
        <w:jc w:val="both"/>
        <w:rPr>
          <w:sz w:val="22"/>
          <w:szCs w:val="22"/>
        </w:rPr>
      </w:pPr>
      <w:r w:rsidRPr="00381070">
        <w:rPr>
          <w:sz w:val="22"/>
          <w:szCs w:val="22"/>
        </w:rPr>
        <w:t xml:space="preserve">A vacancy rate of 3% is understood to represent a balance between supply and demand in the rental market. </w:t>
      </w:r>
      <w:r>
        <w:rPr>
          <w:sz w:val="22"/>
          <w:szCs w:val="22"/>
        </w:rPr>
        <w:t>Vacancy rates below 3% represent a tight rental market while longer term vacancy rates below 2% represent a chronic undersupply of rental housing.</w:t>
      </w:r>
    </w:p>
    <w:p w14:paraId="6A8B91E6" w14:textId="77777777" w:rsidR="00D56536" w:rsidRDefault="0050388E" w:rsidP="0050388E">
      <w:pPr>
        <w:numPr>
          <w:ilvl w:val="0"/>
          <w:numId w:val="18"/>
        </w:numPr>
        <w:spacing w:before="0" w:after="0"/>
        <w:rPr>
          <w:sz w:val="22"/>
          <w:szCs w:val="22"/>
        </w:rPr>
      </w:pPr>
      <w:r w:rsidRPr="0050388E">
        <w:rPr>
          <w:sz w:val="22"/>
          <w:szCs w:val="22"/>
        </w:rPr>
        <w:t>According to Real Estate Institute of NSW (REINSW) data, the vacancy rate</w:t>
      </w:r>
      <w:r w:rsidR="000E1B4E">
        <w:rPr>
          <w:sz w:val="22"/>
          <w:szCs w:val="22"/>
        </w:rPr>
        <w:t xml:space="preserve"> at April 2023 is 2.2%</w:t>
      </w:r>
      <w:r w:rsidRPr="0050388E">
        <w:rPr>
          <w:sz w:val="22"/>
          <w:szCs w:val="22"/>
        </w:rPr>
        <w:t xml:space="preserve"> in </w:t>
      </w:r>
      <w:r w:rsidR="00D56536">
        <w:rPr>
          <w:sz w:val="22"/>
          <w:szCs w:val="22"/>
        </w:rPr>
        <w:t xml:space="preserve">Coffs Harbour </w:t>
      </w:r>
      <w:r w:rsidR="000E1B4E">
        <w:rPr>
          <w:sz w:val="22"/>
          <w:szCs w:val="22"/>
        </w:rPr>
        <w:t xml:space="preserve">and </w:t>
      </w:r>
      <w:r w:rsidR="00945C29">
        <w:rPr>
          <w:sz w:val="22"/>
          <w:szCs w:val="22"/>
        </w:rPr>
        <w:t xml:space="preserve">IS 1.4% </w:t>
      </w:r>
      <w:r w:rsidR="000E1B4E">
        <w:rPr>
          <w:sz w:val="22"/>
          <w:szCs w:val="22"/>
        </w:rPr>
        <w:t>in both</w:t>
      </w:r>
      <w:r w:rsidR="00D56536">
        <w:rPr>
          <w:sz w:val="22"/>
          <w:szCs w:val="22"/>
        </w:rPr>
        <w:t xml:space="preserve"> </w:t>
      </w:r>
      <w:r w:rsidRPr="0050388E">
        <w:rPr>
          <w:sz w:val="22"/>
          <w:szCs w:val="22"/>
        </w:rPr>
        <w:t xml:space="preserve">the Northern Rivers </w:t>
      </w:r>
      <w:r w:rsidR="00D56536">
        <w:rPr>
          <w:sz w:val="22"/>
          <w:szCs w:val="22"/>
        </w:rPr>
        <w:t>the Mid North Coast.</w:t>
      </w:r>
    </w:p>
    <w:p w14:paraId="07692450" w14:textId="77777777" w:rsidR="004F5699" w:rsidRDefault="00D56536" w:rsidP="00D56536">
      <w:pPr>
        <w:numPr>
          <w:ilvl w:val="0"/>
          <w:numId w:val="18"/>
        </w:numPr>
        <w:spacing w:before="0" w:after="0"/>
        <w:rPr>
          <w:sz w:val="22"/>
          <w:szCs w:val="22"/>
        </w:rPr>
      </w:pPr>
      <w:r w:rsidRPr="00D56536">
        <w:rPr>
          <w:sz w:val="22"/>
          <w:szCs w:val="22"/>
        </w:rPr>
        <w:t xml:space="preserve">Almost universally, vacancy rates across regional and metropolitan NSW are tight.  </w:t>
      </w:r>
      <w:r w:rsidR="004F5699" w:rsidRPr="00D56536">
        <w:rPr>
          <w:sz w:val="22"/>
          <w:szCs w:val="22"/>
        </w:rPr>
        <w:t xml:space="preserve">At </w:t>
      </w:r>
      <w:r w:rsidR="000E1B4E">
        <w:rPr>
          <w:sz w:val="22"/>
          <w:szCs w:val="22"/>
        </w:rPr>
        <w:t>April</w:t>
      </w:r>
      <w:r w:rsidR="004F5699" w:rsidRPr="00D56536">
        <w:rPr>
          <w:sz w:val="22"/>
          <w:szCs w:val="22"/>
        </w:rPr>
        <w:t xml:space="preserve"> 202</w:t>
      </w:r>
      <w:r>
        <w:rPr>
          <w:sz w:val="22"/>
          <w:szCs w:val="22"/>
        </w:rPr>
        <w:t>3</w:t>
      </w:r>
      <w:r w:rsidR="004F5699" w:rsidRPr="00D56536">
        <w:rPr>
          <w:sz w:val="22"/>
          <w:szCs w:val="22"/>
        </w:rPr>
        <w:t>, the vacancy rate in</w:t>
      </w:r>
      <w:r w:rsidR="000E1B4E">
        <w:rPr>
          <w:sz w:val="22"/>
          <w:szCs w:val="22"/>
        </w:rPr>
        <w:t xml:space="preserve"> New England was 2</w:t>
      </w:r>
      <w:r>
        <w:rPr>
          <w:sz w:val="22"/>
          <w:szCs w:val="22"/>
        </w:rPr>
        <w:t xml:space="preserve">.1%, in </w:t>
      </w:r>
      <w:r w:rsidR="000E1B4E">
        <w:rPr>
          <w:sz w:val="22"/>
          <w:szCs w:val="22"/>
        </w:rPr>
        <w:t xml:space="preserve">Newcastle was 1.8%, in </w:t>
      </w:r>
      <w:r>
        <w:rPr>
          <w:sz w:val="22"/>
          <w:szCs w:val="22"/>
        </w:rPr>
        <w:t xml:space="preserve">the rest of the Hunter was </w:t>
      </w:r>
      <w:r w:rsidR="000E1B4E">
        <w:rPr>
          <w:sz w:val="22"/>
          <w:szCs w:val="22"/>
        </w:rPr>
        <w:t>2.0</w:t>
      </w:r>
      <w:r>
        <w:rPr>
          <w:sz w:val="22"/>
          <w:szCs w:val="22"/>
        </w:rPr>
        <w:t>%, on the Central Coast was 1.</w:t>
      </w:r>
      <w:r w:rsidR="00350557">
        <w:rPr>
          <w:sz w:val="22"/>
          <w:szCs w:val="22"/>
        </w:rPr>
        <w:t>7</w:t>
      </w:r>
      <w:r>
        <w:rPr>
          <w:sz w:val="22"/>
          <w:szCs w:val="22"/>
        </w:rPr>
        <w:t>%</w:t>
      </w:r>
      <w:r w:rsidR="00350557">
        <w:rPr>
          <w:sz w:val="22"/>
          <w:szCs w:val="22"/>
        </w:rPr>
        <w:t xml:space="preserve"> and</w:t>
      </w:r>
      <w:r w:rsidR="003E21AA">
        <w:rPr>
          <w:sz w:val="22"/>
          <w:szCs w:val="22"/>
        </w:rPr>
        <w:t xml:space="preserve"> in Sydney was 1.</w:t>
      </w:r>
      <w:r w:rsidR="00350557">
        <w:rPr>
          <w:sz w:val="22"/>
          <w:szCs w:val="22"/>
        </w:rPr>
        <w:t>3%</w:t>
      </w:r>
      <w:r w:rsidR="00781CDD" w:rsidRPr="00D56536">
        <w:rPr>
          <w:sz w:val="22"/>
          <w:szCs w:val="22"/>
        </w:rPr>
        <w:t>.</w:t>
      </w:r>
    </w:p>
    <w:p w14:paraId="67A2B8EC" w14:textId="77777777" w:rsidR="00726CBD" w:rsidRPr="00D56536" w:rsidRDefault="00726CBD" w:rsidP="00D56536">
      <w:pPr>
        <w:numPr>
          <w:ilvl w:val="0"/>
          <w:numId w:val="18"/>
        </w:numPr>
        <w:spacing w:before="0" w:after="0"/>
        <w:rPr>
          <w:sz w:val="22"/>
          <w:szCs w:val="22"/>
        </w:rPr>
      </w:pPr>
      <w:r>
        <w:rPr>
          <w:sz w:val="22"/>
          <w:szCs w:val="22"/>
        </w:rPr>
        <w:t>Anecdotally there are reports of the difficulties tenants are experiencing finding and retaining rental accommodation – strong competition for properties, rent bidding and significant increases in rents, tenants paying too much of their income in rent, facing evictions and potential homelessness.</w:t>
      </w:r>
    </w:p>
    <w:p w14:paraId="689D27D9" w14:textId="77777777" w:rsidR="0050388E" w:rsidRPr="003E21AA" w:rsidRDefault="00727260" w:rsidP="00190E8C">
      <w:pPr>
        <w:numPr>
          <w:ilvl w:val="0"/>
          <w:numId w:val="18"/>
        </w:numPr>
        <w:spacing w:before="0" w:after="0"/>
        <w:rPr>
          <w:sz w:val="20"/>
          <w:szCs w:val="20"/>
        </w:rPr>
      </w:pPr>
      <w:r w:rsidRPr="003E21AA">
        <w:rPr>
          <w:sz w:val="22"/>
          <w:szCs w:val="22"/>
        </w:rPr>
        <w:t>T</w:t>
      </w:r>
      <w:r w:rsidR="0050388E" w:rsidRPr="003E21AA">
        <w:rPr>
          <w:sz w:val="22"/>
          <w:szCs w:val="22"/>
        </w:rPr>
        <w:t xml:space="preserve">he </w:t>
      </w:r>
      <w:r w:rsidR="003E21AA" w:rsidRPr="003E21AA">
        <w:rPr>
          <w:sz w:val="22"/>
          <w:szCs w:val="22"/>
        </w:rPr>
        <w:t xml:space="preserve">two </w:t>
      </w:r>
      <w:r w:rsidR="0050388E" w:rsidRPr="003E21AA">
        <w:rPr>
          <w:sz w:val="22"/>
          <w:szCs w:val="22"/>
        </w:rPr>
        <w:t>graph</w:t>
      </w:r>
      <w:r w:rsidR="003E21AA" w:rsidRPr="003E21AA">
        <w:rPr>
          <w:sz w:val="22"/>
          <w:szCs w:val="22"/>
        </w:rPr>
        <w:t>s</w:t>
      </w:r>
      <w:r w:rsidR="0050388E" w:rsidRPr="003E21AA">
        <w:rPr>
          <w:sz w:val="22"/>
          <w:szCs w:val="22"/>
        </w:rPr>
        <w:t xml:space="preserve"> below shows the </w:t>
      </w:r>
      <w:r w:rsidR="003E21AA">
        <w:rPr>
          <w:sz w:val="22"/>
          <w:szCs w:val="22"/>
        </w:rPr>
        <w:t xml:space="preserve">long term </w:t>
      </w:r>
      <w:r w:rsidR="0050388E" w:rsidRPr="003E21AA">
        <w:rPr>
          <w:sz w:val="22"/>
          <w:szCs w:val="22"/>
        </w:rPr>
        <w:t xml:space="preserve">vacancy rate in Coffs Harbour and Northern Rivers </w:t>
      </w:r>
      <w:r w:rsidR="003E21AA" w:rsidRPr="003E21AA">
        <w:rPr>
          <w:sz w:val="22"/>
          <w:szCs w:val="22"/>
        </w:rPr>
        <w:t xml:space="preserve">and also for the Mid North Coast </w:t>
      </w:r>
      <w:r w:rsidR="0050388E" w:rsidRPr="003E21AA">
        <w:rPr>
          <w:sz w:val="22"/>
          <w:szCs w:val="22"/>
        </w:rPr>
        <w:t xml:space="preserve">from 2006 </w:t>
      </w:r>
      <w:r w:rsidR="000E5B59" w:rsidRPr="003E21AA">
        <w:rPr>
          <w:sz w:val="22"/>
          <w:szCs w:val="22"/>
        </w:rPr>
        <w:t xml:space="preserve">to </w:t>
      </w:r>
      <w:r w:rsidR="0050388E" w:rsidRPr="003E21AA">
        <w:rPr>
          <w:sz w:val="22"/>
          <w:szCs w:val="22"/>
        </w:rPr>
        <w:t>20</w:t>
      </w:r>
      <w:r w:rsidRPr="003E21AA">
        <w:rPr>
          <w:sz w:val="22"/>
          <w:szCs w:val="22"/>
        </w:rPr>
        <w:t>2</w:t>
      </w:r>
      <w:r w:rsidR="003E21AA" w:rsidRPr="003E21AA">
        <w:rPr>
          <w:sz w:val="22"/>
          <w:szCs w:val="22"/>
        </w:rPr>
        <w:t>3</w:t>
      </w:r>
      <w:r w:rsidR="0050388E" w:rsidRPr="003E21AA">
        <w:rPr>
          <w:sz w:val="22"/>
          <w:szCs w:val="22"/>
        </w:rPr>
        <w:t xml:space="preserve"> using REINSW data.</w:t>
      </w:r>
    </w:p>
    <w:p w14:paraId="700EA22C" w14:textId="77777777" w:rsidR="0050388E" w:rsidRDefault="0050388E" w:rsidP="0050388E">
      <w:pPr>
        <w:rPr>
          <w:sz w:val="20"/>
          <w:szCs w:val="20"/>
        </w:rPr>
      </w:pPr>
    </w:p>
    <w:p w14:paraId="7C7052DD" w14:textId="77777777" w:rsidR="0050388E" w:rsidRDefault="00350557" w:rsidP="0050388E">
      <w:pPr>
        <w:rPr>
          <w:sz w:val="20"/>
          <w:szCs w:val="20"/>
        </w:rPr>
      </w:pPr>
      <w:r>
        <w:rPr>
          <w:noProof/>
          <w:sz w:val="20"/>
          <w:szCs w:val="20"/>
        </w:rPr>
        <w:lastRenderedPageBreak/>
        <w:drawing>
          <wp:inline distT="0" distB="0" distL="0" distR="0" wp14:anchorId="0BC659E3" wp14:editId="2EE5CE45">
            <wp:extent cx="5924680" cy="2863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893" cy="2870887"/>
                    </a:xfrm>
                    <a:prstGeom prst="rect">
                      <a:avLst/>
                    </a:prstGeom>
                    <a:noFill/>
                  </pic:spPr>
                </pic:pic>
              </a:graphicData>
            </a:graphic>
          </wp:inline>
        </w:drawing>
      </w:r>
    </w:p>
    <w:p w14:paraId="7C27E33D" w14:textId="77777777" w:rsidR="0050388E" w:rsidRDefault="00460F29" w:rsidP="0050388E">
      <w:pPr>
        <w:rPr>
          <w:sz w:val="20"/>
          <w:szCs w:val="20"/>
        </w:rPr>
      </w:pPr>
      <w:r>
        <w:rPr>
          <w:noProof/>
          <w:sz w:val="20"/>
          <w:szCs w:val="20"/>
        </w:rPr>
        <w:drawing>
          <wp:inline distT="0" distB="0" distL="0" distR="0" wp14:anchorId="00796314" wp14:editId="7D67C326">
            <wp:extent cx="6047171" cy="303938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171" cy="3039387"/>
                    </a:xfrm>
                    <a:prstGeom prst="rect">
                      <a:avLst/>
                    </a:prstGeom>
                    <a:noFill/>
                  </pic:spPr>
                </pic:pic>
              </a:graphicData>
            </a:graphic>
          </wp:inline>
        </w:drawing>
      </w:r>
    </w:p>
    <w:p w14:paraId="21459E36" w14:textId="77777777" w:rsidR="0032760C" w:rsidRDefault="0032760C" w:rsidP="0050388E">
      <w:pPr>
        <w:rPr>
          <w:b/>
          <w:color w:val="008000"/>
          <w:sz w:val="32"/>
        </w:rPr>
      </w:pPr>
    </w:p>
    <w:p w14:paraId="06D34B9F" w14:textId="77777777" w:rsidR="0050388E" w:rsidRPr="001C58F3" w:rsidRDefault="0050388E" w:rsidP="0050388E">
      <w:pPr>
        <w:rPr>
          <w:b/>
          <w:color w:val="008000"/>
          <w:sz w:val="32"/>
        </w:rPr>
      </w:pPr>
      <w:r>
        <w:rPr>
          <w:b/>
          <w:color w:val="008000"/>
          <w:sz w:val="32"/>
        </w:rPr>
        <w:t>Affordable Rental</w:t>
      </w:r>
    </w:p>
    <w:p w14:paraId="7308C99B" w14:textId="77777777" w:rsidR="00504018" w:rsidRDefault="00504018" w:rsidP="00504018">
      <w:pPr>
        <w:numPr>
          <w:ilvl w:val="0"/>
          <w:numId w:val="19"/>
        </w:numPr>
        <w:spacing w:before="0" w:after="0"/>
        <w:rPr>
          <w:sz w:val="22"/>
          <w:szCs w:val="22"/>
        </w:rPr>
      </w:pPr>
      <w:r>
        <w:rPr>
          <w:sz w:val="22"/>
          <w:szCs w:val="22"/>
        </w:rPr>
        <w:t>The SGS Economics and Planning November 2022 Rental Affordability Index report notes that:</w:t>
      </w:r>
    </w:p>
    <w:p w14:paraId="332B3E03" w14:textId="77777777" w:rsidR="00504018" w:rsidRPr="00C37378" w:rsidRDefault="00504018" w:rsidP="00504018">
      <w:pPr>
        <w:numPr>
          <w:ilvl w:val="1"/>
          <w:numId w:val="19"/>
        </w:numPr>
        <w:spacing w:before="0" w:after="0"/>
        <w:rPr>
          <w:sz w:val="22"/>
          <w:szCs w:val="22"/>
        </w:rPr>
      </w:pPr>
      <w:r w:rsidRPr="00C37378">
        <w:rPr>
          <w:sz w:val="22"/>
          <w:szCs w:val="22"/>
        </w:rPr>
        <w:t>The greatest decline in rental affordability over the past two years is evident in the coastal areas of regional NSW (e.g., Tweed Heads, Woolgoolga, Port Macquarie)</w:t>
      </w:r>
    </w:p>
    <w:p w14:paraId="1CF6D8ED" w14:textId="77777777" w:rsidR="00504018" w:rsidRDefault="00504018" w:rsidP="00504018">
      <w:pPr>
        <w:numPr>
          <w:ilvl w:val="1"/>
          <w:numId w:val="19"/>
        </w:numPr>
        <w:spacing w:before="0" w:after="0"/>
        <w:rPr>
          <w:sz w:val="22"/>
          <w:szCs w:val="22"/>
        </w:rPr>
      </w:pPr>
      <w:r w:rsidRPr="00453924">
        <w:rPr>
          <w:sz w:val="22"/>
          <w:szCs w:val="22"/>
        </w:rPr>
        <w:t xml:space="preserve">Regional NSW was severely affected by the 2022 eastern Australian floods, one of the worst recorded flood disasters. Towns in the Northern </w:t>
      </w:r>
      <w:r w:rsidRPr="00453924">
        <w:rPr>
          <w:sz w:val="22"/>
          <w:szCs w:val="22"/>
        </w:rPr>
        <w:lastRenderedPageBreak/>
        <w:t>Rivers region suffered damage to thousands of properties and affected homeowners and renters alike.</w:t>
      </w:r>
    </w:p>
    <w:p w14:paraId="44ECBBC9" w14:textId="77777777" w:rsidR="00504018" w:rsidRDefault="00504018" w:rsidP="00504018">
      <w:pPr>
        <w:numPr>
          <w:ilvl w:val="1"/>
          <w:numId w:val="19"/>
        </w:numPr>
        <w:spacing w:before="0" w:after="0"/>
        <w:rPr>
          <w:sz w:val="22"/>
          <w:szCs w:val="22"/>
        </w:rPr>
      </w:pPr>
      <w:r w:rsidRPr="00453924">
        <w:rPr>
          <w:sz w:val="22"/>
          <w:szCs w:val="22"/>
        </w:rPr>
        <w:t xml:space="preserve">The impact on the rental market and affordability is evident in Lismore, </w:t>
      </w:r>
      <w:r w:rsidR="00C151A1">
        <w:rPr>
          <w:sz w:val="22"/>
          <w:szCs w:val="22"/>
        </w:rPr>
        <w:t>o</w:t>
      </w:r>
      <w:r w:rsidRPr="00453924">
        <w:rPr>
          <w:sz w:val="22"/>
          <w:szCs w:val="22"/>
        </w:rPr>
        <w:t>ne of the worst affected towns, where rental affordability was reduced by 10 per cent between 2021 and 2022</w:t>
      </w:r>
      <w:r w:rsidR="00C151A1">
        <w:rPr>
          <w:sz w:val="22"/>
          <w:szCs w:val="22"/>
        </w:rPr>
        <w:t>.</w:t>
      </w:r>
    </w:p>
    <w:p w14:paraId="48ECF6FE" w14:textId="77777777" w:rsidR="00504018" w:rsidRPr="00504018" w:rsidRDefault="00504018" w:rsidP="00504018">
      <w:pPr>
        <w:numPr>
          <w:ilvl w:val="1"/>
          <w:numId w:val="19"/>
        </w:numPr>
        <w:spacing w:before="0" w:after="0"/>
        <w:rPr>
          <w:sz w:val="22"/>
          <w:szCs w:val="22"/>
        </w:rPr>
      </w:pPr>
      <w:r w:rsidRPr="00453924">
        <w:rPr>
          <w:sz w:val="22"/>
          <w:szCs w:val="22"/>
        </w:rPr>
        <w:t>Bellingen was similarly affected, with</w:t>
      </w:r>
      <w:r>
        <w:rPr>
          <w:sz w:val="22"/>
          <w:szCs w:val="22"/>
        </w:rPr>
        <w:t xml:space="preserve"> </w:t>
      </w:r>
      <w:r w:rsidRPr="00453924">
        <w:rPr>
          <w:sz w:val="22"/>
          <w:szCs w:val="22"/>
        </w:rPr>
        <w:t>affordability declining by 14 per cent.</w:t>
      </w:r>
    </w:p>
    <w:p w14:paraId="45CC5A78" w14:textId="77777777" w:rsidR="0050388E" w:rsidRDefault="0050388E" w:rsidP="0050388E">
      <w:pPr>
        <w:numPr>
          <w:ilvl w:val="0"/>
          <w:numId w:val="19"/>
        </w:numPr>
        <w:spacing w:before="0" w:after="0"/>
        <w:rPr>
          <w:sz w:val="22"/>
          <w:szCs w:val="22"/>
        </w:rPr>
      </w:pPr>
      <w:r w:rsidRPr="006721ED">
        <w:rPr>
          <w:sz w:val="22"/>
          <w:szCs w:val="22"/>
        </w:rPr>
        <w:t>The NSW wide trend to decline in the proportion of rental housing that is affordable for lower income household</w:t>
      </w:r>
      <w:r w:rsidR="00504018">
        <w:rPr>
          <w:sz w:val="22"/>
          <w:szCs w:val="22"/>
        </w:rPr>
        <w:t>s is evident in the North Coast</w:t>
      </w:r>
      <w:r w:rsidRPr="006721ED">
        <w:rPr>
          <w:sz w:val="22"/>
          <w:szCs w:val="22"/>
        </w:rPr>
        <w:t xml:space="preserve">. </w:t>
      </w:r>
    </w:p>
    <w:p w14:paraId="4BB79286" w14:textId="77777777" w:rsidR="006721ED" w:rsidRPr="006721ED" w:rsidRDefault="006721ED" w:rsidP="0050388E">
      <w:pPr>
        <w:numPr>
          <w:ilvl w:val="0"/>
          <w:numId w:val="19"/>
        </w:numPr>
        <w:spacing w:before="0" w:after="0"/>
        <w:rPr>
          <w:sz w:val="22"/>
          <w:szCs w:val="22"/>
        </w:rPr>
      </w:pPr>
      <w:r>
        <w:rPr>
          <w:sz w:val="22"/>
          <w:szCs w:val="22"/>
        </w:rPr>
        <w:t>Again, looking at the period from 2018 to 2019 and from 2020 to 2021,</w:t>
      </w:r>
      <w:r w:rsidR="008A64F4" w:rsidRPr="008A64F4">
        <w:rPr>
          <w:sz w:val="22"/>
          <w:szCs w:val="22"/>
        </w:rPr>
        <w:t xml:space="preserve"> </w:t>
      </w:r>
      <w:r w:rsidR="008A64F4">
        <w:rPr>
          <w:sz w:val="22"/>
          <w:szCs w:val="22"/>
        </w:rPr>
        <w:t>this broad trend is more nuanced</w:t>
      </w:r>
      <w:r w:rsidR="00FD6A1C">
        <w:rPr>
          <w:sz w:val="22"/>
          <w:szCs w:val="22"/>
        </w:rPr>
        <w:t>.</w:t>
      </w:r>
      <w:r>
        <w:rPr>
          <w:sz w:val="22"/>
          <w:szCs w:val="22"/>
        </w:rPr>
        <w:t xml:space="preserve"> </w:t>
      </w:r>
      <w:r w:rsidR="00FD6A1C">
        <w:rPr>
          <w:sz w:val="22"/>
          <w:szCs w:val="22"/>
        </w:rPr>
        <w:t xml:space="preserve"> </w:t>
      </w:r>
      <w:r>
        <w:rPr>
          <w:sz w:val="22"/>
          <w:szCs w:val="22"/>
        </w:rPr>
        <w:t>Kyogle, Richmond Valley, Clarence Valley and Coffs Harbour experienc</w:t>
      </w:r>
      <w:r w:rsidR="00FD6A1C">
        <w:rPr>
          <w:sz w:val="22"/>
          <w:szCs w:val="22"/>
        </w:rPr>
        <w:t>ed</w:t>
      </w:r>
      <w:r>
        <w:rPr>
          <w:sz w:val="22"/>
          <w:szCs w:val="22"/>
        </w:rPr>
        <w:t xml:space="preserve"> a decline in the proportion of private rental affordable to very low income households between 2018 and 20</w:t>
      </w:r>
      <w:r w:rsidR="00FD6A1C">
        <w:rPr>
          <w:sz w:val="22"/>
          <w:szCs w:val="22"/>
        </w:rPr>
        <w:t xml:space="preserve">19.  Almost all North Coast LGAs </w:t>
      </w:r>
      <w:r>
        <w:rPr>
          <w:sz w:val="22"/>
          <w:szCs w:val="22"/>
        </w:rPr>
        <w:t xml:space="preserve">experienced a decline in private rental affordable to very low income households between 2020 and 2021 – with </w:t>
      </w:r>
      <w:r w:rsidR="00F034CC">
        <w:rPr>
          <w:sz w:val="22"/>
          <w:szCs w:val="22"/>
        </w:rPr>
        <w:t>Bellingen, Nambucca and Kempsey the only exceptions.</w:t>
      </w:r>
    </w:p>
    <w:p w14:paraId="5C7CEBDB" w14:textId="1A6D7CED" w:rsidR="0050388E" w:rsidRPr="006721ED" w:rsidRDefault="0050388E" w:rsidP="0050388E">
      <w:pPr>
        <w:numPr>
          <w:ilvl w:val="0"/>
          <w:numId w:val="19"/>
        </w:numPr>
        <w:spacing w:before="0" w:after="0"/>
        <w:rPr>
          <w:sz w:val="22"/>
          <w:szCs w:val="22"/>
        </w:rPr>
      </w:pPr>
      <w:r w:rsidRPr="006721ED">
        <w:rPr>
          <w:sz w:val="22"/>
          <w:szCs w:val="22"/>
        </w:rPr>
        <w:t>All the LGAs in this region have a significantly lower proportion of affordable rental for v</w:t>
      </w:r>
      <w:r w:rsidR="00F034CC">
        <w:rPr>
          <w:sz w:val="22"/>
          <w:szCs w:val="22"/>
        </w:rPr>
        <w:t>ery low income households in 2021</w:t>
      </w:r>
      <w:r w:rsidRPr="006721ED">
        <w:rPr>
          <w:sz w:val="22"/>
          <w:szCs w:val="22"/>
        </w:rPr>
        <w:t xml:space="preserve"> than in 20</w:t>
      </w:r>
      <w:r w:rsidR="00C80626">
        <w:rPr>
          <w:sz w:val="22"/>
          <w:szCs w:val="22"/>
        </w:rPr>
        <w:t>17</w:t>
      </w:r>
      <w:r w:rsidRPr="006721ED">
        <w:rPr>
          <w:sz w:val="22"/>
          <w:szCs w:val="22"/>
        </w:rPr>
        <w:t>. Seven of the twelve LGAs in this region have a lower proportion of affordable rental than the Rest of NSW average of 21</w:t>
      </w:r>
      <w:r w:rsidR="00F034CC">
        <w:rPr>
          <w:sz w:val="22"/>
          <w:szCs w:val="22"/>
        </w:rPr>
        <w:t>.9</w:t>
      </w:r>
      <w:r w:rsidRPr="006721ED">
        <w:rPr>
          <w:sz w:val="22"/>
          <w:szCs w:val="22"/>
        </w:rPr>
        <w:t>% (</w:t>
      </w:r>
      <w:r w:rsidR="00F034CC">
        <w:rPr>
          <w:sz w:val="22"/>
          <w:szCs w:val="22"/>
        </w:rPr>
        <w:t>Tweed, Byron, Ballina, Clarence Valley, Coffs Harbour, Bellingen and Port Macquarie-Hastings</w:t>
      </w:r>
      <w:r w:rsidRPr="006721ED">
        <w:rPr>
          <w:sz w:val="22"/>
          <w:szCs w:val="22"/>
        </w:rPr>
        <w:t xml:space="preserve">).  Byron had the lowest proportion of affordable rental for very low income households with just </w:t>
      </w:r>
      <w:r w:rsidR="00F034CC">
        <w:rPr>
          <w:sz w:val="22"/>
          <w:szCs w:val="22"/>
        </w:rPr>
        <w:t>0.9</w:t>
      </w:r>
      <w:r w:rsidRPr="006721ED">
        <w:rPr>
          <w:sz w:val="22"/>
          <w:szCs w:val="22"/>
        </w:rPr>
        <w:t xml:space="preserve">%, followed by Ballina with </w:t>
      </w:r>
      <w:r w:rsidR="00F034CC">
        <w:rPr>
          <w:sz w:val="22"/>
          <w:szCs w:val="22"/>
        </w:rPr>
        <w:t>2.6</w:t>
      </w:r>
      <w:r w:rsidRPr="006721ED">
        <w:rPr>
          <w:sz w:val="22"/>
          <w:szCs w:val="22"/>
        </w:rPr>
        <w:t>%</w:t>
      </w:r>
      <w:r w:rsidR="00F034CC">
        <w:rPr>
          <w:sz w:val="22"/>
          <w:szCs w:val="22"/>
        </w:rPr>
        <w:t>,</w:t>
      </w:r>
      <w:r w:rsidRPr="006721ED">
        <w:rPr>
          <w:sz w:val="22"/>
          <w:szCs w:val="22"/>
        </w:rPr>
        <w:t xml:space="preserve"> Tweed with </w:t>
      </w:r>
      <w:r w:rsidR="00F034CC">
        <w:rPr>
          <w:sz w:val="22"/>
          <w:szCs w:val="22"/>
        </w:rPr>
        <w:t>4.6</w:t>
      </w:r>
      <w:r w:rsidRPr="006721ED">
        <w:rPr>
          <w:sz w:val="22"/>
          <w:szCs w:val="22"/>
        </w:rPr>
        <w:t>%</w:t>
      </w:r>
      <w:r w:rsidR="00F034CC">
        <w:rPr>
          <w:sz w:val="22"/>
          <w:szCs w:val="22"/>
        </w:rPr>
        <w:t>, Port Macquarie-Hastings with 7.3% and Coffs Harbour with 7.8%</w:t>
      </w:r>
      <w:r w:rsidRPr="006721ED">
        <w:rPr>
          <w:sz w:val="22"/>
          <w:szCs w:val="22"/>
        </w:rPr>
        <w:t>.</w:t>
      </w:r>
    </w:p>
    <w:p w14:paraId="3F710DD8" w14:textId="3A36C2D6" w:rsidR="0050388E" w:rsidRPr="00F034CC" w:rsidRDefault="0050388E" w:rsidP="00BC2126">
      <w:pPr>
        <w:numPr>
          <w:ilvl w:val="0"/>
          <w:numId w:val="19"/>
        </w:numPr>
        <w:spacing w:before="0" w:after="0"/>
        <w:rPr>
          <w:sz w:val="22"/>
          <w:szCs w:val="22"/>
        </w:rPr>
      </w:pPr>
      <w:r w:rsidRPr="00F034CC">
        <w:rPr>
          <w:sz w:val="22"/>
          <w:szCs w:val="22"/>
        </w:rPr>
        <w:t xml:space="preserve">The </w:t>
      </w:r>
      <w:r w:rsidR="00C83F9B">
        <w:rPr>
          <w:sz w:val="22"/>
          <w:szCs w:val="22"/>
        </w:rPr>
        <w:t xml:space="preserve">table and </w:t>
      </w:r>
      <w:r w:rsidRPr="00F034CC">
        <w:rPr>
          <w:sz w:val="22"/>
          <w:szCs w:val="22"/>
        </w:rPr>
        <w:t>graph below</w:t>
      </w:r>
      <w:r w:rsidR="00C83F9B">
        <w:rPr>
          <w:sz w:val="22"/>
          <w:szCs w:val="22"/>
        </w:rPr>
        <w:t>,</w:t>
      </w:r>
      <w:r w:rsidRPr="00F034CC">
        <w:rPr>
          <w:sz w:val="22"/>
          <w:szCs w:val="22"/>
        </w:rPr>
        <w:t xml:space="preserve"> show the change in the proportion of private rental accommodation </w:t>
      </w:r>
      <w:r w:rsidR="00C80626">
        <w:rPr>
          <w:sz w:val="22"/>
          <w:szCs w:val="22"/>
        </w:rPr>
        <w:t xml:space="preserve">(as measured by new rental bonds lodged) </w:t>
      </w:r>
      <w:r w:rsidRPr="00F034CC">
        <w:rPr>
          <w:sz w:val="22"/>
          <w:szCs w:val="22"/>
        </w:rPr>
        <w:t>that is affordable to very low income households in all LGAs in the North C</w:t>
      </w:r>
      <w:r w:rsidR="00F034CC">
        <w:rPr>
          <w:sz w:val="22"/>
          <w:szCs w:val="22"/>
        </w:rPr>
        <w:t>oast region between 2001 and 2021.</w:t>
      </w:r>
    </w:p>
    <w:p w14:paraId="2B040BEF" w14:textId="77777777" w:rsidR="0032760C" w:rsidRPr="0050388E" w:rsidRDefault="0032760C" w:rsidP="0050388E">
      <w:pPr>
        <w:rPr>
          <w:sz w:val="22"/>
          <w:szCs w:val="22"/>
        </w:rPr>
      </w:pPr>
      <w:r>
        <w:rPr>
          <w:sz w:val="22"/>
          <w:szCs w:val="22"/>
        </w:rPr>
        <w:t>Proportion private rental affordable rental for very low income earners</w:t>
      </w:r>
    </w:p>
    <w:p w14:paraId="554A88FE" w14:textId="77777777" w:rsidR="0050388E" w:rsidRDefault="00195D73" w:rsidP="0050388E">
      <w:pPr>
        <w:rPr>
          <w:sz w:val="20"/>
          <w:szCs w:val="20"/>
        </w:rPr>
      </w:pPr>
      <w:r w:rsidRPr="00195D73">
        <w:rPr>
          <w:noProof/>
        </w:rPr>
        <w:drawing>
          <wp:inline distT="0" distB="0" distL="0" distR="0" wp14:anchorId="1FF38116" wp14:editId="5BABE229">
            <wp:extent cx="5201285" cy="2790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2790825"/>
                    </a:xfrm>
                    <a:prstGeom prst="rect">
                      <a:avLst/>
                    </a:prstGeom>
                    <a:noFill/>
                    <a:ln>
                      <a:noFill/>
                    </a:ln>
                  </pic:spPr>
                </pic:pic>
              </a:graphicData>
            </a:graphic>
          </wp:inline>
        </w:drawing>
      </w:r>
    </w:p>
    <w:p w14:paraId="277668D1" w14:textId="77777777" w:rsidR="0050388E" w:rsidRDefault="0050388E" w:rsidP="0050388E">
      <w:pPr>
        <w:rPr>
          <w:sz w:val="20"/>
          <w:szCs w:val="20"/>
        </w:rPr>
      </w:pPr>
    </w:p>
    <w:p w14:paraId="049FED06" w14:textId="77777777" w:rsidR="0050388E" w:rsidRDefault="0050388E" w:rsidP="0050388E">
      <w:pPr>
        <w:rPr>
          <w:sz w:val="20"/>
          <w:szCs w:val="20"/>
        </w:rPr>
      </w:pPr>
    </w:p>
    <w:p w14:paraId="0654C385" w14:textId="77777777" w:rsidR="0050388E" w:rsidRDefault="00195D73" w:rsidP="0050388E">
      <w:pPr>
        <w:rPr>
          <w:sz w:val="20"/>
          <w:szCs w:val="20"/>
        </w:rPr>
      </w:pPr>
      <w:r>
        <w:rPr>
          <w:noProof/>
          <w:sz w:val="20"/>
          <w:szCs w:val="20"/>
        </w:rPr>
        <w:lastRenderedPageBreak/>
        <w:drawing>
          <wp:inline distT="0" distB="0" distL="0" distR="0" wp14:anchorId="6C102F6F" wp14:editId="01282D8A">
            <wp:extent cx="6037052" cy="3324138"/>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7052" cy="3324138"/>
                    </a:xfrm>
                    <a:prstGeom prst="rect">
                      <a:avLst/>
                    </a:prstGeom>
                    <a:noFill/>
                  </pic:spPr>
                </pic:pic>
              </a:graphicData>
            </a:graphic>
          </wp:inline>
        </w:drawing>
      </w:r>
    </w:p>
    <w:p w14:paraId="5575EC2E" w14:textId="77777777" w:rsidR="0050388E" w:rsidRPr="00484C95" w:rsidRDefault="00484C95" w:rsidP="00484C95">
      <w:pPr>
        <w:pStyle w:val="ListParagraph"/>
        <w:numPr>
          <w:ilvl w:val="0"/>
          <w:numId w:val="38"/>
        </w:numPr>
        <w:rPr>
          <w:sz w:val="20"/>
          <w:szCs w:val="20"/>
        </w:rPr>
      </w:pPr>
      <w:r>
        <w:rPr>
          <w:sz w:val="22"/>
          <w:szCs w:val="22"/>
        </w:rPr>
        <w:t>As for very low income households, low income households have experienced recent ups and downs in affordability of private rental.</w:t>
      </w:r>
    </w:p>
    <w:p w14:paraId="27F276A8" w14:textId="77777777" w:rsidR="00484C95" w:rsidRPr="00EB7D43" w:rsidRDefault="00484C95" w:rsidP="00484C95">
      <w:pPr>
        <w:pStyle w:val="ListParagraph"/>
        <w:numPr>
          <w:ilvl w:val="0"/>
          <w:numId w:val="38"/>
        </w:numPr>
        <w:rPr>
          <w:sz w:val="20"/>
          <w:szCs w:val="20"/>
        </w:rPr>
      </w:pPr>
      <w:r>
        <w:rPr>
          <w:sz w:val="22"/>
          <w:szCs w:val="22"/>
        </w:rPr>
        <w:t xml:space="preserve">Between 2018 and 2019 the proportion of private rentals affordable for low income households declined in Tweed, Lismore, Kyogle, Richmond Valley, Coffs Harbour, Bellingen and Kempsey but </w:t>
      </w:r>
      <w:r w:rsidR="0019025D">
        <w:rPr>
          <w:sz w:val="22"/>
          <w:szCs w:val="22"/>
        </w:rPr>
        <w:t>improved in Byron, Ballina, Clarence Valley, Nambucca and Port Macquarie-Hastings.</w:t>
      </w:r>
    </w:p>
    <w:p w14:paraId="1BBECB9F" w14:textId="77777777" w:rsidR="00EB7D43" w:rsidRPr="00EB7D43" w:rsidRDefault="00EB7D43" w:rsidP="00484C95">
      <w:pPr>
        <w:pStyle w:val="ListParagraph"/>
        <w:numPr>
          <w:ilvl w:val="0"/>
          <w:numId w:val="38"/>
        </w:numPr>
        <w:rPr>
          <w:sz w:val="20"/>
          <w:szCs w:val="20"/>
        </w:rPr>
      </w:pPr>
      <w:r>
        <w:rPr>
          <w:sz w:val="22"/>
          <w:szCs w:val="22"/>
        </w:rPr>
        <w:t>Between 2019 and 2020, the proportion of private rentals affordable for low income households increased in every LGA except Ballina, Coffs Harbour and Kempsey.</w:t>
      </w:r>
    </w:p>
    <w:p w14:paraId="01965C45" w14:textId="77777777" w:rsidR="00EB7D43" w:rsidRPr="009419F0" w:rsidRDefault="00EB7D43" w:rsidP="00484C95">
      <w:pPr>
        <w:pStyle w:val="ListParagraph"/>
        <w:numPr>
          <w:ilvl w:val="0"/>
          <w:numId w:val="38"/>
        </w:numPr>
        <w:rPr>
          <w:sz w:val="20"/>
          <w:szCs w:val="20"/>
        </w:rPr>
      </w:pPr>
      <w:r>
        <w:rPr>
          <w:sz w:val="22"/>
          <w:szCs w:val="22"/>
        </w:rPr>
        <w:t xml:space="preserve">Between 2020 and 2021 </w:t>
      </w:r>
      <w:r w:rsidR="009419F0">
        <w:rPr>
          <w:sz w:val="22"/>
          <w:szCs w:val="22"/>
        </w:rPr>
        <w:t>the proportion of affordable rental declined in every LGA except Kempsey, where it remained stable.</w:t>
      </w:r>
    </w:p>
    <w:p w14:paraId="005E7DD0" w14:textId="1A63031C" w:rsidR="009419F0" w:rsidRPr="0019025D" w:rsidRDefault="009419F0" w:rsidP="00484C95">
      <w:pPr>
        <w:pStyle w:val="ListParagraph"/>
        <w:numPr>
          <w:ilvl w:val="0"/>
          <w:numId w:val="38"/>
        </w:numPr>
        <w:rPr>
          <w:sz w:val="20"/>
          <w:szCs w:val="20"/>
        </w:rPr>
      </w:pPr>
      <w:r>
        <w:rPr>
          <w:sz w:val="22"/>
          <w:szCs w:val="22"/>
        </w:rPr>
        <w:t>Again all LGAs have a lower proportion of private rental properties affordable for low income households in 2021 than in 20</w:t>
      </w:r>
      <w:r w:rsidR="00C80626">
        <w:rPr>
          <w:sz w:val="22"/>
          <w:szCs w:val="22"/>
        </w:rPr>
        <w:t>17</w:t>
      </w:r>
      <w:r>
        <w:rPr>
          <w:sz w:val="22"/>
          <w:szCs w:val="22"/>
        </w:rPr>
        <w:t xml:space="preserve">, with six LGAs (Tweed, Byron, Ballina, Coffs Harbour, Bellingen and Port Macquarie-Hastings) </w:t>
      </w:r>
      <w:r w:rsidR="008A64F4">
        <w:rPr>
          <w:sz w:val="22"/>
          <w:szCs w:val="22"/>
        </w:rPr>
        <w:t xml:space="preserve">having a lower proportion </w:t>
      </w:r>
      <w:r>
        <w:rPr>
          <w:sz w:val="22"/>
          <w:szCs w:val="22"/>
        </w:rPr>
        <w:t xml:space="preserve">than the average for the Rest of NSW.  Byron has the lowest proportion </w:t>
      </w:r>
      <w:r w:rsidR="008A64F4">
        <w:rPr>
          <w:sz w:val="22"/>
          <w:szCs w:val="22"/>
        </w:rPr>
        <w:t xml:space="preserve">of affordable rental for low income households </w:t>
      </w:r>
      <w:r>
        <w:rPr>
          <w:sz w:val="22"/>
          <w:szCs w:val="22"/>
        </w:rPr>
        <w:t xml:space="preserve">with just 8.2%, followed by </w:t>
      </w:r>
      <w:r w:rsidR="005E399C">
        <w:rPr>
          <w:sz w:val="22"/>
          <w:szCs w:val="22"/>
        </w:rPr>
        <w:t>Ballina with 17.0% and Tweed with 18.5% - all well below the Rest of NSW average of 51.0%.</w:t>
      </w:r>
    </w:p>
    <w:p w14:paraId="440D57A0" w14:textId="77777777" w:rsidR="0019025D" w:rsidRPr="00EB7D43" w:rsidRDefault="0019025D" w:rsidP="00EB7D43">
      <w:pPr>
        <w:rPr>
          <w:sz w:val="20"/>
          <w:szCs w:val="20"/>
        </w:rPr>
      </w:pPr>
    </w:p>
    <w:p w14:paraId="4EE769E7" w14:textId="77777777" w:rsidR="00195D73" w:rsidRDefault="00195D73" w:rsidP="0050388E">
      <w:pPr>
        <w:rPr>
          <w:sz w:val="20"/>
          <w:szCs w:val="20"/>
        </w:rPr>
      </w:pPr>
    </w:p>
    <w:p w14:paraId="1ED6B004" w14:textId="77777777" w:rsidR="00195D73" w:rsidRDefault="00195D73" w:rsidP="0050388E">
      <w:pPr>
        <w:rPr>
          <w:sz w:val="20"/>
          <w:szCs w:val="20"/>
        </w:rPr>
      </w:pPr>
    </w:p>
    <w:p w14:paraId="2D2B4EEA" w14:textId="77777777" w:rsidR="00195D73" w:rsidRDefault="00195D73" w:rsidP="0050388E">
      <w:pPr>
        <w:rPr>
          <w:sz w:val="20"/>
          <w:szCs w:val="20"/>
        </w:rPr>
      </w:pPr>
    </w:p>
    <w:p w14:paraId="717F2918" w14:textId="11B55881" w:rsidR="00195D73" w:rsidRDefault="00195D73" w:rsidP="0050388E">
      <w:pPr>
        <w:rPr>
          <w:sz w:val="20"/>
          <w:szCs w:val="20"/>
        </w:rPr>
      </w:pPr>
    </w:p>
    <w:p w14:paraId="75110222" w14:textId="288BD82D" w:rsidR="00D366EB" w:rsidRDefault="00D366EB" w:rsidP="0050388E">
      <w:pPr>
        <w:rPr>
          <w:sz w:val="20"/>
          <w:szCs w:val="20"/>
        </w:rPr>
      </w:pPr>
    </w:p>
    <w:p w14:paraId="17F0F9B6" w14:textId="77777777" w:rsidR="00D366EB" w:rsidRDefault="00D366EB" w:rsidP="0050388E">
      <w:pPr>
        <w:rPr>
          <w:sz w:val="20"/>
          <w:szCs w:val="20"/>
        </w:rPr>
      </w:pPr>
    </w:p>
    <w:p w14:paraId="77548CFC" w14:textId="77777777" w:rsidR="0050388E" w:rsidRDefault="006E27A6" w:rsidP="0050388E">
      <w:pPr>
        <w:rPr>
          <w:sz w:val="20"/>
          <w:szCs w:val="20"/>
        </w:rPr>
      </w:pPr>
      <w:r>
        <w:rPr>
          <w:sz w:val="20"/>
          <w:szCs w:val="20"/>
        </w:rPr>
        <w:lastRenderedPageBreak/>
        <w:t>Proportion of private rental affordable to low income households</w:t>
      </w:r>
    </w:p>
    <w:p w14:paraId="01B19770" w14:textId="77777777" w:rsidR="00195D73" w:rsidRDefault="00195D73" w:rsidP="0050388E">
      <w:pPr>
        <w:rPr>
          <w:u w:val="single"/>
        </w:rPr>
      </w:pPr>
      <w:r w:rsidRPr="00195D73">
        <w:rPr>
          <w:noProof/>
        </w:rPr>
        <w:drawing>
          <wp:inline distT="0" distB="0" distL="0" distR="0" wp14:anchorId="3656196E" wp14:editId="201A6495">
            <wp:extent cx="5201285" cy="2790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1285" cy="2790825"/>
                    </a:xfrm>
                    <a:prstGeom prst="rect">
                      <a:avLst/>
                    </a:prstGeom>
                    <a:noFill/>
                    <a:ln>
                      <a:noFill/>
                    </a:ln>
                  </pic:spPr>
                </pic:pic>
              </a:graphicData>
            </a:graphic>
          </wp:inline>
        </w:drawing>
      </w:r>
    </w:p>
    <w:p w14:paraId="150B48C8" w14:textId="77777777" w:rsidR="0050388E" w:rsidRDefault="00195D73" w:rsidP="0050388E">
      <w:pPr>
        <w:rPr>
          <w:u w:val="single"/>
        </w:rPr>
      </w:pPr>
      <w:r w:rsidRPr="00195D73">
        <w:rPr>
          <w:noProof/>
        </w:rPr>
        <w:drawing>
          <wp:inline distT="0" distB="0" distL="0" distR="0" wp14:anchorId="2F9176E1" wp14:editId="44C021B6">
            <wp:extent cx="5910580" cy="314015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5452" cy="3163999"/>
                    </a:xfrm>
                    <a:prstGeom prst="rect">
                      <a:avLst/>
                    </a:prstGeom>
                    <a:noFill/>
                  </pic:spPr>
                </pic:pic>
              </a:graphicData>
            </a:graphic>
          </wp:inline>
        </w:drawing>
      </w:r>
    </w:p>
    <w:p w14:paraId="609CAAD8" w14:textId="77777777" w:rsidR="0050388E" w:rsidRPr="00C0777E" w:rsidRDefault="0050388E" w:rsidP="0050388E">
      <w:pPr>
        <w:numPr>
          <w:ilvl w:val="0"/>
          <w:numId w:val="31"/>
        </w:numPr>
        <w:spacing w:before="0" w:after="0"/>
        <w:rPr>
          <w:sz w:val="22"/>
          <w:szCs w:val="22"/>
        </w:rPr>
      </w:pPr>
      <w:r w:rsidRPr="00C0777E">
        <w:rPr>
          <w:sz w:val="22"/>
          <w:szCs w:val="22"/>
        </w:rPr>
        <w:t>There is evidence that short term holiday rentals such as Airbnb are impacting the supply of housing, including long term rental and affordable housing in cities and coastal communities.   The North Coast sub-region and Byron Shire in particular has experienced significant impacts, including loss of long term and affordable rental housing.</w:t>
      </w:r>
    </w:p>
    <w:p w14:paraId="755310C9" w14:textId="77777777" w:rsidR="0050388E" w:rsidRPr="00C0777E" w:rsidRDefault="0050388E" w:rsidP="0050388E">
      <w:pPr>
        <w:numPr>
          <w:ilvl w:val="0"/>
          <w:numId w:val="31"/>
        </w:numPr>
        <w:spacing w:before="0" w:after="0"/>
        <w:rPr>
          <w:sz w:val="22"/>
          <w:szCs w:val="22"/>
        </w:rPr>
      </w:pPr>
      <w:r w:rsidRPr="00C0777E">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w:t>
      </w:r>
      <w:proofErr w:type="spellStart"/>
      <w:r w:rsidRPr="00C0777E">
        <w:rPr>
          <w:sz w:val="22"/>
          <w:szCs w:val="22"/>
        </w:rPr>
        <w:t>Gurran</w:t>
      </w:r>
      <w:proofErr w:type="spellEnd"/>
      <w:r w:rsidRPr="00C0777E">
        <w:rPr>
          <w:sz w:val="22"/>
          <w:szCs w:val="22"/>
        </w:rPr>
        <w:t xml:space="preserve">, </w:t>
      </w:r>
      <w:proofErr w:type="spellStart"/>
      <w:r w:rsidRPr="00C0777E">
        <w:rPr>
          <w:sz w:val="22"/>
          <w:szCs w:val="22"/>
        </w:rPr>
        <w:t>Yuting</w:t>
      </w:r>
      <w:proofErr w:type="spellEnd"/>
      <w:r w:rsidRPr="00C0777E">
        <w:rPr>
          <w:sz w:val="22"/>
          <w:szCs w:val="22"/>
        </w:rPr>
        <w:t xml:space="preserve"> Zhang, </w:t>
      </w:r>
      <w:proofErr w:type="spellStart"/>
      <w:r w:rsidRPr="00C0777E">
        <w:rPr>
          <w:sz w:val="22"/>
          <w:szCs w:val="22"/>
        </w:rPr>
        <w:t>Pranita</w:t>
      </w:r>
      <w:proofErr w:type="spellEnd"/>
      <w:r w:rsidRPr="00C0777E">
        <w:rPr>
          <w:sz w:val="22"/>
          <w:szCs w:val="22"/>
        </w:rPr>
        <w:t xml:space="preserve"> Shrestha, Catherine Gilbert.  </w:t>
      </w:r>
    </w:p>
    <w:p w14:paraId="0EB7D394" w14:textId="77777777" w:rsidR="0050388E" w:rsidRPr="00C0777E" w:rsidRDefault="0050388E" w:rsidP="0050388E">
      <w:pPr>
        <w:numPr>
          <w:ilvl w:val="0"/>
          <w:numId w:val="31"/>
        </w:numPr>
        <w:spacing w:before="0" w:after="0"/>
        <w:rPr>
          <w:sz w:val="22"/>
          <w:szCs w:val="22"/>
        </w:rPr>
      </w:pPr>
      <w:r w:rsidRPr="00C0777E">
        <w:rPr>
          <w:sz w:val="22"/>
          <w:szCs w:val="22"/>
        </w:rPr>
        <w:lastRenderedPageBreak/>
        <w:t>The study found (p7) “that there has been a rapid growth in online holiday rental listings overall and in coastal Australia in particular. Since Airbnb was launched in Australia, the number of listings has risen to over 130,000 properties, amounting to around 0.2% of the housing stock nationwide. If holiday rentals are considered to be part of the rental housing stock (a smaller proportion of Australian homes), then Airbnb listings for whole homes represent around 3.5% of rental accommodation. In coastal communities, the rate is much higher. Across the communities in this study, between 0.3% (Moreton Bay) and 17.6 % (Byron) of the total housing stock is listed on Airbnb.”</w:t>
      </w:r>
    </w:p>
    <w:p w14:paraId="3D3C7F40" w14:textId="77777777" w:rsidR="0050388E" w:rsidRPr="00C0777E" w:rsidRDefault="0050388E" w:rsidP="0050388E">
      <w:pPr>
        <w:numPr>
          <w:ilvl w:val="0"/>
          <w:numId w:val="31"/>
        </w:numPr>
        <w:spacing w:before="0" w:after="0"/>
        <w:rPr>
          <w:sz w:val="22"/>
          <w:szCs w:val="22"/>
        </w:rPr>
      </w:pPr>
      <w:r w:rsidRPr="00C0777E">
        <w:rPr>
          <w:sz w:val="22"/>
          <w:szCs w:val="22"/>
        </w:rPr>
        <w:t>Further (p36) “Many… of the case study communities report that lower income residents and local workers face barriers in securing affordable rental housing or entering home ownership … – particularly Byron Bay … – online holiday rentals permeate residential neighbourhoods which were formally places for lower income earners and local workers to find permanent rental housing.”</w:t>
      </w:r>
    </w:p>
    <w:p w14:paraId="54EA93B7" w14:textId="77777777" w:rsidR="0050388E" w:rsidRPr="00C0777E" w:rsidRDefault="0050388E" w:rsidP="0050388E">
      <w:pPr>
        <w:numPr>
          <w:ilvl w:val="0"/>
          <w:numId w:val="31"/>
        </w:numPr>
        <w:spacing w:before="0" w:after="0"/>
        <w:rPr>
          <w:sz w:val="22"/>
          <w:szCs w:val="22"/>
        </w:rPr>
      </w:pPr>
      <w:r w:rsidRPr="00C0777E">
        <w:rPr>
          <w:sz w:val="22"/>
          <w:szCs w:val="22"/>
        </w:rPr>
        <w:t xml:space="preserve">“In these localities, interviewees described a tightening rental market where renters struggled to find accommodation in the towns where they worked, or faced eviction notices prior to holiday seasons. In Byron, interviewees described a process of tourism displacement whereby local workers and aspiring first home buyers with ties to the locality, have been priced out of the market by tight rents and unaffordable prices.” </w:t>
      </w:r>
    </w:p>
    <w:p w14:paraId="4631A8AD" w14:textId="77777777" w:rsidR="0050388E" w:rsidRPr="00C0777E" w:rsidRDefault="0050388E" w:rsidP="00127518">
      <w:pPr>
        <w:numPr>
          <w:ilvl w:val="0"/>
          <w:numId w:val="31"/>
        </w:numPr>
        <w:spacing w:before="0" w:after="0"/>
        <w:rPr>
          <w:sz w:val="22"/>
          <w:szCs w:val="22"/>
        </w:rPr>
      </w:pPr>
      <w:r w:rsidRPr="00C0777E">
        <w:rPr>
          <w:sz w:val="22"/>
          <w:szCs w:val="22"/>
        </w:rPr>
        <w:t>New residential development intended to increase the housing supply was often purchased by investors with the intention of listing them as holiday rentals rather than offering them to long term tenants.</w:t>
      </w:r>
    </w:p>
    <w:p w14:paraId="7A20BC7A" w14:textId="77777777" w:rsidR="0050388E" w:rsidRPr="00C0777E" w:rsidRDefault="0050388E" w:rsidP="0050388E">
      <w:pPr>
        <w:numPr>
          <w:ilvl w:val="0"/>
          <w:numId w:val="31"/>
        </w:numPr>
        <w:spacing w:before="0" w:after="0"/>
        <w:rPr>
          <w:sz w:val="22"/>
          <w:szCs w:val="22"/>
        </w:rPr>
      </w:pPr>
      <w:r w:rsidRPr="00C0777E">
        <w:rPr>
          <w:sz w:val="22"/>
          <w:szCs w:val="22"/>
        </w:rPr>
        <w:t>The report notes that in Byron (p58) “The rental housing market has always been tight, with many renters needing to vacate during summer peak seasons. However, since the rise of online platforms …permanent rental accommodation is almost impossible to access within Byron Bay itself, and difficult across the entire local government area. There is a particular concern about the potential for new housing supply to be subsumed within the holiday rental stock rather than contributing to local housing need.”</w:t>
      </w:r>
    </w:p>
    <w:p w14:paraId="54EB8709" w14:textId="77777777" w:rsidR="0050388E" w:rsidRPr="00C0777E" w:rsidRDefault="0050388E" w:rsidP="0050388E">
      <w:pPr>
        <w:numPr>
          <w:ilvl w:val="0"/>
          <w:numId w:val="31"/>
        </w:numPr>
        <w:spacing w:before="0" w:after="0"/>
        <w:rPr>
          <w:sz w:val="22"/>
          <w:szCs w:val="22"/>
        </w:rPr>
      </w:pPr>
      <w:r w:rsidRPr="00C0777E">
        <w:rPr>
          <w:sz w:val="22"/>
          <w:szCs w:val="22"/>
        </w:rPr>
        <w:t>As the study points out (p46) “in communities where demand for rental housing outstrips supply, any conversion of the residential stock to tourism will exacerbate housing affordability issues.”</w:t>
      </w:r>
    </w:p>
    <w:p w14:paraId="6AA841B4" w14:textId="77777777" w:rsidR="0050388E" w:rsidRPr="00C0777E" w:rsidRDefault="0050388E" w:rsidP="0050388E">
      <w:pPr>
        <w:numPr>
          <w:ilvl w:val="0"/>
          <w:numId w:val="31"/>
        </w:numPr>
        <w:spacing w:before="0" w:after="0"/>
        <w:rPr>
          <w:sz w:val="22"/>
          <w:szCs w:val="22"/>
        </w:rPr>
      </w:pPr>
      <w:r w:rsidRPr="00C0777E">
        <w:rPr>
          <w:sz w:val="22"/>
          <w:szCs w:val="22"/>
        </w:rPr>
        <w:t>The study outlines a range of potential planning, regulatory and industry responses, including a checklist for local government to consider.</w:t>
      </w:r>
    </w:p>
    <w:p w14:paraId="53ED83A3" w14:textId="77777777" w:rsidR="00993F2F" w:rsidRDefault="00993F2F" w:rsidP="0050388E">
      <w:pPr>
        <w:numPr>
          <w:ilvl w:val="0"/>
          <w:numId w:val="31"/>
        </w:numPr>
        <w:spacing w:before="0" w:after="0"/>
        <w:rPr>
          <w:sz w:val="22"/>
          <w:szCs w:val="22"/>
        </w:rPr>
      </w:pPr>
      <w:r>
        <w:rPr>
          <w:sz w:val="22"/>
          <w:szCs w:val="22"/>
        </w:rPr>
        <w:t xml:space="preserve">More recently, research by SQM showed that between July 2019 and July 2020 Ballina experienced a 32% increase in Airbnb listings, East Ballina 21%, Nambucca 6%, Port Macquarie-Hastings 4%, while Bellingen and Clarence Valley were down -3%, Tweed and Lennox Head were down -13%, </w:t>
      </w:r>
      <w:r w:rsidR="00AC1134">
        <w:rPr>
          <w:sz w:val="22"/>
          <w:szCs w:val="22"/>
        </w:rPr>
        <w:t xml:space="preserve">Coffs Harbour – 18%, Kempsey -22%, Richmond Valley and Byron </w:t>
      </w:r>
      <w:r w:rsidR="00864595">
        <w:rPr>
          <w:sz w:val="22"/>
          <w:szCs w:val="22"/>
        </w:rPr>
        <w:t>-</w:t>
      </w:r>
      <w:r w:rsidR="00AC1134">
        <w:rPr>
          <w:sz w:val="22"/>
          <w:szCs w:val="22"/>
        </w:rPr>
        <w:t>26%</w:t>
      </w:r>
      <w:r w:rsidR="00864595">
        <w:rPr>
          <w:sz w:val="22"/>
          <w:szCs w:val="22"/>
        </w:rPr>
        <w:t xml:space="preserve">, </w:t>
      </w:r>
      <w:r w:rsidR="004E6BD8">
        <w:rPr>
          <w:sz w:val="22"/>
          <w:szCs w:val="22"/>
        </w:rPr>
        <w:t xml:space="preserve">with </w:t>
      </w:r>
      <w:r w:rsidR="00864595">
        <w:rPr>
          <w:sz w:val="22"/>
          <w:szCs w:val="22"/>
        </w:rPr>
        <w:t>Lismore -</w:t>
      </w:r>
      <w:r w:rsidR="00AC1134">
        <w:rPr>
          <w:sz w:val="22"/>
          <w:szCs w:val="22"/>
        </w:rPr>
        <w:t>39% and Kyogle -47%.</w:t>
      </w:r>
    </w:p>
    <w:p w14:paraId="59DFD79C" w14:textId="77777777" w:rsidR="00595FEF" w:rsidRPr="0050388E" w:rsidRDefault="00595FEF" w:rsidP="0050388E">
      <w:pPr>
        <w:numPr>
          <w:ilvl w:val="0"/>
          <w:numId w:val="31"/>
        </w:numPr>
        <w:spacing w:before="0" w:after="0"/>
        <w:rPr>
          <w:sz w:val="22"/>
          <w:szCs w:val="22"/>
        </w:rPr>
      </w:pPr>
      <w:r>
        <w:rPr>
          <w:sz w:val="22"/>
          <w:szCs w:val="22"/>
        </w:rPr>
        <w:t>Since 2020 it is likely that Airbnb listings have picked up again in the North Coast, with the exception of flood impacted areas.</w:t>
      </w:r>
    </w:p>
    <w:p w14:paraId="1454A946" w14:textId="77777777" w:rsidR="0050388E" w:rsidRDefault="0050388E" w:rsidP="0050388E">
      <w:pPr>
        <w:rPr>
          <w:b/>
          <w:color w:val="008000"/>
          <w:sz w:val="32"/>
        </w:rPr>
      </w:pPr>
    </w:p>
    <w:p w14:paraId="0EEE9084" w14:textId="77777777" w:rsidR="0050388E" w:rsidRDefault="0050388E" w:rsidP="0050388E">
      <w:pPr>
        <w:rPr>
          <w:b/>
          <w:color w:val="008000"/>
          <w:sz w:val="32"/>
        </w:rPr>
      </w:pPr>
      <w:r>
        <w:rPr>
          <w:b/>
          <w:color w:val="008000"/>
          <w:sz w:val="32"/>
        </w:rPr>
        <w:t>Rental Stress</w:t>
      </w:r>
    </w:p>
    <w:p w14:paraId="712AC043" w14:textId="77777777" w:rsidR="00B83551" w:rsidRPr="00E44A18" w:rsidRDefault="00B83551" w:rsidP="00B83551">
      <w:pPr>
        <w:numPr>
          <w:ilvl w:val="0"/>
          <w:numId w:val="20"/>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households in rental stress will struggle to pay for other essential household </w:t>
      </w:r>
      <w:r w:rsidRPr="00E44A18">
        <w:rPr>
          <w:sz w:val="22"/>
          <w:szCs w:val="22"/>
        </w:rPr>
        <w:lastRenderedPageBreak/>
        <w:t xml:space="preserve">costs, such as medical or educational expenses, food, transport and energy costs. </w:t>
      </w:r>
    </w:p>
    <w:p w14:paraId="101EBFE8" w14:textId="77777777" w:rsidR="00C94A4D" w:rsidRDefault="00733363" w:rsidP="00C94A4D">
      <w:pPr>
        <w:pStyle w:val="ListParagraph"/>
        <w:numPr>
          <w:ilvl w:val="0"/>
          <w:numId w:val="20"/>
        </w:numPr>
        <w:spacing w:before="0" w:after="0"/>
        <w:rPr>
          <w:sz w:val="22"/>
          <w:szCs w:val="22"/>
        </w:rPr>
      </w:pPr>
      <w:r w:rsidRPr="00C94A4D">
        <w:rPr>
          <w:sz w:val="22"/>
          <w:szCs w:val="22"/>
        </w:rPr>
        <w:t xml:space="preserve">At June 2021 the proportion of very low income households in rental stress in the Rest of NSW (that is, excluding Sydney) was 91.7%.  Within North Coast, the proportion varied from 84.7% in Kyogle to </w:t>
      </w:r>
      <w:r w:rsidR="008E37B7" w:rsidRPr="00C94A4D">
        <w:rPr>
          <w:sz w:val="22"/>
          <w:szCs w:val="22"/>
        </w:rPr>
        <w:t xml:space="preserve">97.4% in Byron.  The proportion of very low income households in rental stress increased between 2016 and 2021 in every single LGA within the North Coast region.  </w:t>
      </w:r>
      <w:r w:rsidR="00C94A4D" w:rsidRPr="00C94A4D">
        <w:rPr>
          <w:sz w:val="22"/>
          <w:szCs w:val="22"/>
        </w:rPr>
        <w:t xml:space="preserve">Again the proportion of low income earners in rental stress increased in every LGA between 2016 and 2021, in some areas quite dramatically (for example Ballina increased from 60.9% in 2016 to 85.4% in 2021).  However, </w:t>
      </w:r>
      <w:r w:rsidR="00C94A4D">
        <w:rPr>
          <w:sz w:val="22"/>
          <w:szCs w:val="22"/>
        </w:rPr>
        <w:t>the picture is actually more complex.</w:t>
      </w:r>
    </w:p>
    <w:p w14:paraId="06B4DA9C" w14:textId="77777777" w:rsidR="00C94A4D" w:rsidRDefault="00C94A4D" w:rsidP="00C94A4D">
      <w:pPr>
        <w:pStyle w:val="ListParagraph"/>
        <w:numPr>
          <w:ilvl w:val="0"/>
          <w:numId w:val="20"/>
        </w:numPr>
        <w:spacing w:before="0" w:after="0"/>
        <w:rPr>
          <w:sz w:val="22"/>
          <w:szCs w:val="22"/>
        </w:rPr>
      </w:pPr>
      <w:r>
        <w:rPr>
          <w:sz w:val="22"/>
          <w:szCs w:val="22"/>
        </w:rPr>
        <w:t>While the percentage in stress increased, the total number of very low and low income households in rental stress declined in each LGA (except for Kempsey, Kyogle and Nambucca which all experienced an increase) – against the trend in the Rest of NSW.</w:t>
      </w:r>
    </w:p>
    <w:p w14:paraId="63335668" w14:textId="77777777" w:rsidR="00FA655C" w:rsidRDefault="00FA655C" w:rsidP="00C94A4D">
      <w:pPr>
        <w:pStyle w:val="ListParagraph"/>
        <w:numPr>
          <w:ilvl w:val="0"/>
          <w:numId w:val="20"/>
        </w:numPr>
        <w:spacing w:before="0" w:after="0"/>
        <w:rPr>
          <w:sz w:val="22"/>
          <w:szCs w:val="22"/>
        </w:rPr>
      </w:pPr>
      <w:r>
        <w:rPr>
          <w:sz w:val="22"/>
          <w:szCs w:val="22"/>
        </w:rPr>
        <w:t>Below is a graph of the proportion of very low and low income households in rental stress in each North Coast LGA at 2021 and a table showing the change in the proportion of very low and low income households in stress between 2016 and 2021.</w:t>
      </w:r>
    </w:p>
    <w:p w14:paraId="4386B56A" w14:textId="77777777" w:rsidR="00FA655C" w:rsidRPr="00DA3373" w:rsidRDefault="00FA655C" w:rsidP="00DA3373">
      <w:pPr>
        <w:spacing w:before="0" w:after="0"/>
        <w:rPr>
          <w:sz w:val="22"/>
          <w:szCs w:val="22"/>
        </w:rPr>
      </w:pPr>
    </w:p>
    <w:p w14:paraId="39FD4658" w14:textId="77777777" w:rsidR="00FA655C" w:rsidRDefault="00FA655C" w:rsidP="00FA655C">
      <w:pPr>
        <w:spacing w:before="0" w:after="0"/>
        <w:rPr>
          <w:sz w:val="22"/>
          <w:szCs w:val="22"/>
        </w:rPr>
      </w:pPr>
      <w:r>
        <w:rPr>
          <w:noProof/>
          <w:sz w:val="22"/>
          <w:szCs w:val="22"/>
        </w:rPr>
        <w:drawing>
          <wp:inline distT="0" distB="0" distL="0" distR="0" wp14:anchorId="2B5A78C7" wp14:editId="48D82782">
            <wp:extent cx="6106160" cy="30560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560" cy="3064785"/>
                    </a:xfrm>
                    <a:prstGeom prst="rect">
                      <a:avLst/>
                    </a:prstGeom>
                    <a:noFill/>
                  </pic:spPr>
                </pic:pic>
              </a:graphicData>
            </a:graphic>
          </wp:inline>
        </w:drawing>
      </w:r>
    </w:p>
    <w:p w14:paraId="44806CCB" w14:textId="77777777" w:rsidR="00FA655C" w:rsidRDefault="00FA655C" w:rsidP="00FA655C">
      <w:pPr>
        <w:spacing w:before="0" w:after="0"/>
        <w:rPr>
          <w:sz w:val="22"/>
          <w:szCs w:val="22"/>
        </w:rPr>
      </w:pPr>
    </w:p>
    <w:p w14:paraId="0DDA84E3" w14:textId="77777777" w:rsidR="00FA655C" w:rsidRDefault="00FA655C" w:rsidP="00FA655C">
      <w:pPr>
        <w:spacing w:before="0" w:after="0"/>
        <w:rPr>
          <w:sz w:val="22"/>
          <w:szCs w:val="22"/>
        </w:rPr>
      </w:pPr>
    </w:p>
    <w:p w14:paraId="1328A37A" w14:textId="77777777" w:rsidR="00FA655C" w:rsidRDefault="00FA655C" w:rsidP="00D366EB">
      <w:pPr>
        <w:spacing w:before="0" w:after="0"/>
        <w:ind w:firstLine="360"/>
        <w:rPr>
          <w:sz w:val="22"/>
          <w:szCs w:val="22"/>
        </w:rPr>
      </w:pPr>
      <w:r w:rsidRPr="00FA655C">
        <w:rPr>
          <w:noProof/>
        </w:rPr>
        <w:lastRenderedPageBreak/>
        <w:drawing>
          <wp:inline distT="0" distB="0" distL="0" distR="0" wp14:anchorId="27708F6D" wp14:editId="243B2356">
            <wp:extent cx="3981450" cy="398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19143CD7" w14:textId="77777777" w:rsidR="00AD431B" w:rsidRDefault="00AD431B" w:rsidP="00FA655C">
      <w:pPr>
        <w:spacing w:before="0" w:after="0"/>
        <w:rPr>
          <w:sz w:val="22"/>
          <w:szCs w:val="22"/>
        </w:rPr>
      </w:pPr>
    </w:p>
    <w:p w14:paraId="386EBC74" w14:textId="77777777" w:rsidR="00AD431B" w:rsidRDefault="00AD431B" w:rsidP="00AD431B">
      <w:pPr>
        <w:pStyle w:val="ListParagraph"/>
        <w:numPr>
          <w:ilvl w:val="0"/>
          <w:numId w:val="39"/>
        </w:numPr>
        <w:spacing w:before="0" w:after="0"/>
        <w:rPr>
          <w:sz w:val="22"/>
          <w:szCs w:val="22"/>
        </w:rPr>
      </w:pPr>
      <w:r>
        <w:rPr>
          <w:sz w:val="22"/>
          <w:szCs w:val="22"/>
        </w:rPr>
        <w:t>The next table shows the change in the number of very low and low income households in rental stress at 2016 and at 2021.</w:t>
      </w:r>
    </w:p>
    <w:p w14:paraId="0B407866" w14:textId="77777777" w:rsidR="00AD431B" w:rsidRDefault="00C77749" w:rsidP="00AD431B">
      <w:pPr>
        <w:pStyle w:val="ListParagraph"/>
        <w:numPr>
          <w:ilvl w:val="0"/>
          <w:numId w:val="39"/>
        </w:numPr>
        <w:spacing w:before="0" w:after="0"/>
        <w:rPr>
          <w:sz w:val="22"/>
          <w:szCs w:val="22"/>
        </w:rPr>
      </w:pPr>
      <w:r>
        <w:rPr>
          <w:sz w:val="22"/>
          <w:szCs w:val="22"/>
        </w:rPr>
        <w:t>Again Covid has had an impact on the rental market and on tenants</w:t>
      </w:r>
      <w:r w:rsidR="007B6418">
        <w:rPr>
          <w:sz w:val="22"/>
          <w:szCs w:val="22"/>
        </w:rPr>
        <w:t>.</w:t>
      </w:r>
    </w:p>
    <w:p w14:paraId="435794C1" w14:textId="77777777" w:rsidR="00AD431B" w:rsidRDefault="00AD431B" w:rsidP="00AD431B">
      <w:pPr>
        <w:pStyle w:val="ListParagraph"/>
        <w:numPr>
          <w:ilvl w:val="0"/>
          <w:numId w:val="39"/>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w:t>
      </w:r>
      <w:r w:rsidR="007937DA">
        <w:rPr>
          <w:sz w:val="22"/>
          <w:szCs w:val="22"/>
        </w:rPr>
        <w:t xml:space="preserve"> over this time frame</w:t>
      </w:r>
      <w:r>
        <w:rPr>
          <w:sz w:val="22"/>
          <w:szCs w:val="22"/>
        </w:rPr>
        <w:t>.</w:t>
      </w:r>
    </w:p>
    <w:p w14:paraId="11F296B1" w14:textId="77777777" w:rsidR="00AD431B" w:rsidRPr="00AD431B" w:rsidRDefault="00AD431B" w:rsidP="00AD431B">
      <w:pPr>
        <w:spacing w:before="0" w:after="0"/>
        <w:rPr>
          <w:sz w:val="22"/>
          <w:szCs w:val="22"/>
        </w:rPr>
      </w:pPr>
    </w:p>
    <w:p w14:paraId="228BD154" w14:textId="77777777" w:rsidR="00AD431B" w:rsidRDefault="00AD431B" w:rsidP="00FA655C">
      <w:pPr>
        <w:spacing w:before="0" w:after="0"/>
        <w:rPr>
          <w:sz w:val="22"/>
          <w:szCs w:val="22"/>
        </w:rPr>
      </w:pPr>
    </w:p>
    <w:p w14:paraId="68EA52DD" w14:textId="77777777" w:rsidR="00AD431B" w:rsidRDefault="00AD431B" w:rsidP="00D366EB">
      <w:pPr>
        <w:spacing w:before="0" w:after="0"/>
        <w:ind w:firstLine="360"/>
        <w:rPr>
          <w:sz w:val="22"/>
          <w:szCs w:val="22"/>
        </w:rPr>
      </w:pPr>
      <w:r w:rsidRPr="00AD431B">
        <w:rPr>
          <w:noProof/>
        </w:rPr>
        <w:lastRenderedPageBreak/>
        <w:drawing>
          <wp:inline distT="0" distB="0" distL="0" distR="0" wp14:anchorId="0BC772D0" wp14:editId="7D8C3D7F">
            <wp:extent cx="3981450" cy="4010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4010025"/>
                    </a:xfrm>
                    <a:prstGeom prst="rect">
                      <a:avLst/>
                    </a:prstGeom>
                    <a:noFill/>
                    <a:ln>
                      <a:noFill/>
                    </a:ln>
                  </pic:spPr>
                </pic:pic>
              </a:graphicData>
            </a:graphic>
          </wp:inline>
        </w:drawing>
      </w:r>
    </w:p>
    <w:p w14:paraId="0079CFD7" w14:textId="77777777" w:rsidR="00FA655C" w:rsidRDefault="00FA655C" w:rsidP="00FA655C">
      <w:pPr>
        <w:spacing w:before="0" w:after="0"/>
        <w:rPr>
          <w:sz w:val="22"/>
          <w:szCs w:val="22"/>
        </w:rPr>
      </w:pPr>
    </w:p>
    <w:p w14:paraId="5C271FA1" w14:textId="77777777" w:rsidR="00FA655C" w:rsidRDefault="00F23DEA" w:rsidP="00F23DEA">
      <w:pPr>
        <w:pStyle w:val="ListParagraph"/>
        <w:numPr>
          <w:ilvl w:val="0"/>
          <w:numId w:val="40"/>
        </w:numPr>
        <w:spacing w:before="0" w:after="0"/>
        <w:rPr>
          <w:sz w:val="22"/>
          <w:szCs w:val="22"/>
        </w:rPr>
      </w:pPr>
      <w:r>
        <w:rPr>
          <w:sz w:val="22"/>
          <w:szCs w:val="22"/>
        </w:rPr>
        <w:t>Between 2016 and 2020, the total number of CRA recipients in the North Coast increased significantly, while the number in stress actually declined.  However, between 2020 and 2021 the number of CRA recipients declined while the number in stress increased.</w:t>
      </w:r>
    </w:p>
    <w:p w14:paraId="63F549FD" w14:textId="77777777" w:rsidR="00C36285" w:rsidRPr="00C36285" w:rsidRDefault="00C36285" w:rsidP="00AB3B46">
      <w:pPr>
        <w:pStyle w:val="ListParagraph"/>
        <w:numPr>
          <w:ilvl w:val="0"/>
          <w:numId w:val="40"/>
        </w:numPr>
        <w:rPr>
          <w:sz w:val="22"/>
          <w:szCs w:val="22"/>
        </w:rPr>
      </w:pPr>
      <w:r w:rsidRPr="00C36285">
        <w:rPr>
          <w:sz w:val="22"/>
          <w:szCs w:val="22"/>
        </w:rPr>
        <w:t xml:space="preserve">The number of CRA recipients </w:t>
      </w:r>
      <w:r w:rsidR="00966EF1">
        <w:rPr>
          <w:sz w:val="22"/>
          <w:szCs w:val="22"/>
        </w:rPr>
        <w:t xml:space="preserve">in </w:t>
      </w:r>
      <w:r w:rsidRPr="00C36285">
        <w:rPr>
          <w:sz w:val="22"/>
          <w:szCs w:val="22"/>
        </w:rPr>
        <w:t xml:space="preserve">housing stress has increased from the June 2020 figures as the temporary Coronavirus Supplement ended on 31 March 2021. </w:t>
      </w:r>
    </w:p>
    <w:p w14:paraId="542466CB" w14:textId="77777777" w:rsidR="00F23DEA" w:rsidRDefault="00C36285" w:rsidP="00C36285">
      <w:pPr>
        <w:pStyle w:val="ListParagraph"/>
        <w:numPr>
          <w:ilvl w:val="0"/>
          <w:numId w:val="4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13886B91" w14:textId="77777777" w:rsidR="00C36285" w:rsidRDefault="00C36285" w:rsidP="00C36285">
      <w:pPr>
        <w:pStyle w:val="ListParagraph"/>
        <w:numPr>
          <w:ilvl w:val="0"/>
          <w:numId w:val="4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739349C7" w14:textId="77777777" w:rsidR="00C36285" w:rsidRDefault="00C36285" w:rsidP="00C36285">
      <w:pPr>
        <w:pStyle w:val="ListParagraph"/>
        <w:numPr>
          <w:ilvl w:val="0"/>
          <w:numId w:val="40"/>
        </w:numPr>
        <w:spacing w:before="0" w:after="0"/>
        <w:rPr>
          <w:sz w:val="22"/>
          <w:szCs w:val="22"/>
        </w:rPr>
      </w:pPr>
      <w:r>
        <w:rPr>
          <w:sz w:val="22"/>
          <w:szCs w:val="22"/>
        </w:rPr>
        <w:t>This scenario is evident in the two graphs below.</w:t>
      </w:r>
    </w:p>
    <w:p w14:paraId="748248A8" w14:textId="77777777" w:rsidR="000D2002" w:rsidRPr="00864BE2" w:rsidRDefault="000D2002" w:rsidP="000D2002">
      <w:pPr>
        <w:numPr>
          <w:ilvl w:val="0"/>
          <w:numId w:val="40"/>
        </w:numPr>
        <w:spacing w:before="0" w:after="0"/>
        <w:rPr>
          <w:sz w:val="22"/>
          <w:szCs w:val="22"/>
        </w:rPr>
      </w:pPr>
      <w:r>
        <w:rPr>
          <w:sz w:val="22"/>
          <w:szCs w:val="22"/>
        </w:rPr>
        <w:t>Note that, a</w:t>
      </w:r>
      <w:r w:rsidRPr="00864BE2">
        <w:rPr>
          <w:sz w:val="22"/>
          <w:szCs w:val="22"/>
        </w:rPr>
        <w:t xml:space="preserve">ccording to SGS Economics and Planning Rental Affordability Index of November 2022 “Regional rental markets were not exposed to COVID-19 restrictions that capital cities were; therefore, the rebound from the pandemic played out differently. While Australia’s regions were spared the worst of pandemic response measures, there has been concern regarding the impacts of outward-migrating city residents on housing, and rental, affordability.  This </w:t>
      </w:r>
      <w:r w:rsidRPr="00864BE2">
        <w:rPr>
          <w:sz w:val="22"/>
          <w:szCs w:val="22"/>
        </w:rPr>
        <w:lastRenderedPageBreak/>
        <w:t>phenomenon is observed in the most recent data, which shows that affordability has worsened in the regional areas of every state, even more so than in the capital cities (P55)”</w:t>
      </w:r>
      <w:r>
        <w:rPr>
          <w:sz w:val="22"/>
          <w:szCs w:val="22"/>
        </w:rPr>
        <w:t>.</w:t>
      </w:r>
    </w:p>
    <w:p w14:paraId="452A4E7D" w14:textId="77777777" w:rsidR="00C36285" w:rsidRDefault="00C36285" w:rsidP="00C36285">
      <w:pPr>
        <w:spacing w:before="0" w:after="0"/>
        <w:rPr>
          <w:sz w:val="22"/>
          <w:szCs w:val="22"/>
        </w:rPr>
      </w:pPr>
    </w:p>
    <w:p w14:paraId="0311FC30" w14:textId="77777777" w:rsidR="00C36285" w:rsidRDefault="00C36285" w:rsidP="00C36285">
      <w:pPr>
        <w:spacing w:before="0" w:after="0"/>
        <w:rPr>
          <w:sz w:val="22"/>
          <w:szCs w:val="22"/>
        </w:rPr>
      </w:pPr>
    </w:p>
    <w:p w14:paraId="64046AB1" w14:textId="77777777" w:rsidR="00C36285" w:rsidRDefault="00C36285" w:rsidP="00C36285">
      <w:pPr>
        <w:spacing w:before="0" w:after="0"/>
        <w:rPr>
          <w:sz w:val="22"/>
          <w:szCs w:val="22"/>
        </w:rPr>
      </w:pPr>
      <w:r>
        <w:rPr>
          <w:noProof/>
          <w:sz w:val="22"/>
          <w:szCs w:val="22"/>
        </w:rPr>
        <w:drawing>
          <wp:inline distT="0" distB="0" distL="0" distR="0" wp14:anchorId="08202A39" wp14:editId="55009490">
            <wp:extent cx="5657850" cy="3108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3108960"/>
                    </a:xfrm>
                    <a:prstGeom prst="rect">
                      <a:avLst/>
                    </a:prstGeom>
                    <a:noFill/>
                  </pic:spPr>
                </pic:pic>
              </a:graphicData>
            </a:graphic>
          </wp:inline>
        </w:drawing>
      </w:r>
    </w:p>
    <w:p w14:paraId="187DFD6B" w14:textId="77777777" w:rsidR="00C36285" w:rsidRDefault="00C36285" w:rsidP="00C36285">
      <w:pPr>
        <w:spacing w:before="0" w:after="0"/>
        <w:rPr>
          <w:sz w:val="22"/>
          <w:szCs w:val="22"/>
        </w:rPr>
      </w:pPr>
    </w:p>
    <w:p w14:paraId="346FB8AE" w14:textId="77777777" w:rsidR="00C36285" w:rsidRDefault="00C36285" w:rsidP="00C36285">
      <w:pPr>
        <w:spacing w:before="0" w:after="0"/>
        <w:rPr>
          <w:sz w:val="22"/>
          <w:szCs w:val="22"/>
        </w:rPr>
      </w:pPr>
      <w:r>
        <w:rPr>
          <w:noProof/>
        </w:rPr>
        <w:drawing>
          <wp:inline distT="0" distB="0" distL="0" distR="0" wp14:anchorId="12503993" wp14:editId="2ABD670A">
            <wp:extent cx="5638800" cy="31146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0CB7A3" w14:textId="77777777" w:rsidR="00C36285" w:rsidRDefault="00C36285" w:rsidP="00C36285">
      <w:pPr>
        <w:spacing w:before="0" w:after="0"/>
        <w:rPr>
          <w:sz w:val="22"/>
          <w:szCs w:val="22"/>
        </w:rPr>
      </w:pPr>
    </w:p>
    <w:p w14:paraId="2BEDCC8C" w14:textId="77777777" w:rsidR="0050388E" w:rsidRPr="00120052" w:rsidRDefault="0050388E" w:rsidP="00127518">
      <w:pPr>
        <w:numPr>
          <w:ilvl w:val="0"/>
          <w:numId w:val="34"/>
        </w:numPr>
        <w:spacing w:before="0" w:after="0"/>
        <w:rPr>
          <w:sz w:val="22"/>
          <w:szCs w:val="22"/>
        </w:rPr>
      </w:pPr>
      <w:r w:rsidRPr="00120052">
        <w:rPr>
          <w:sz w:val="22"/>
          <w:szCs w:val="22"/>
        </w:rPr>
        <w:t xml:space="preserve">The table below shows the number and proportion of tenants in the North Coast region who are in the private rental market, are in receipt of Commonwealth Rent Assistance, and even with this additional income support, are in housing stress.  </w:t>
      </w:r>
    </w:p>
    <w:p w14:paraId="5CCCD2A7" w14:textId="77777777" w:rsidR="00E62DD7" w:rsidRDefault="0050388E" w:rsidP="0050388E">
      <w:pPr>
        <w:numPr>
          <w:ilvl w:val="0"/>
          <w:numId w:val="34"/>
        </w:numPr>
        <w:spacing w:before="0" w:after="0"/>
        <w:rPr>
          <w:sz w:val="22"/>
          <w:szCs w:val="22"/>
        </w:rPr>
      </w:pPr>
      <w:r w:rsidRPr="00120052">
        <w:rPr>
          <w:sz w:val="22"/>
          <w:szCs w:val="22"/>
        </w:rPr>
        <w:t>There were a total of</w:t>
      </w:r>
      <w:r w:rsidR="00E62DD7">
        <w:rPr>
          <w:sz w:val="22"/>
          <w:szCs w:val="22"/>
        </w:rPr>
        <w:t xml:space="preserve"> 22,057</w:t>
      </w:r>
      <w:r w:rsidRPr="00120052">
        <w:rPr>
          <w:sz w:val="22"/>
          <w:szCs w:val="22"/>
        </w:rPr>
        <w:t xml:space="preserve"> tenants in receipt of CRA and in housing stress across the North Coast region in 20</w:t>
      </w:r>
      <w:r w:rsidR="00E62DD7">
        <w:rPr>
          <w:sz w:val="22"/>
          <w:szCs w:val="22"/>
        </w:rPr>
        <w:t xml:space="preserve">21, up from </w:t>
      </w:r>
      <w:r w:rsidR="00E62DD7" w:rsidRPr="00120052">
        <w:rPr>
          <w:sz w:val="22"/>
          <w:szCs w:val="22"/>
        </w:rPr>
        <w:t>18,663</w:t>
      </w:r>
      <w:r w:rsidR="00E62DD7">
        <w:rPr>
          <w:sz w:val="22"/>
          <w:szCs w:val="22"/>
        </w:rPr>
        <w:t xml:space="preserve"> in 2016</w:t>
      </w:r>
      <w:r w:rsidRPr="00120052">
        <w:rPr>
          <w:sz w:val="22"/>
          <w:szCs w:val="22"/>
        </w:rPr>
        <w:t xml:space="preserve">.  The North Coast </w:t>
      </w:r>
      <w:r w:rsidRPr="00120052">
        <w:rPr>
          <w:sz w:val="22"/>
          <w:szCs w:val="22"/>
        </w:rPr>
        <w:lastRenderedPageBreak/>
        <w:t xml:space="preserve">is home to </w:t>
      </w:r>
      <w:r w:rsidR="00E62DD7">
        <w:rPr>
          <w:sz w:val="22"/>
          <w:szCs w:val="22"/>
        </w:rPr>
        <w:t xml:space="preserve">26.4% </w:t>
      </w:r>
      <w:r w:rsidRPr="00120052">
        <w:rPr>
          <w:sz w:val="22"/>
          <w:szCs w:val="22"/>
        </w:rPr>
        <w:t>of all the CRA recipients in housing stress across the Rest of NSW</w:t>
      </w:r>
      <w:r w:rsidR="00E62DD7">
        <w:rPr>
          <w:sz w:val="22"/>
          <w:szCs w:val="22"/>
        </w:rPr>
        <w:t xml:space="preserve"> (although only 25.3% of all CRA recipients)</w:t>
      </w:r>
      <w:r w:rsidRPr="00120052">
        <w:rPr>
          <w:sz w:val="22"/>
          <w:szCs w:val="22"/>
        </w:rPr>
        <w:t xml:space="preserve">.  </w:t>
      </w:r>
    </w:p>
    <w:p w14:paraId="38BA288F" w14:textId="77777777" w:rsidR="0050388E" w:rsidRPr="00120052" w:rsidRDefault="0050388E" w:rsidP="0050388E">
      <w:pPr>
        <w:numPr>
          <w:ilvl w:val="0"/>
          <w:numId w:val="34"/>
        </w:numPr>
        <w:spacing w:before="0" w:after="0"/>
        <w:rPr>
          <w:sz w:val="22"/>
          <w:szCs w:val="22"/>
        </w:rPr>
      </w:pPr>
      <w:r w:rsidRPr="00120052">
        <w:rPr>
          <w:sz w:val="22"/>
          <w:szCs w:val="22"/>
        </w:rPr>
        <w:t>This is a very high proportion and indicates that this region is not affordable for rental, relative to other regions outside Sydney. Tweed had the highest number of CRA recipients in housing stress with</w:t>
      </w:r>
      <w:r w:rsidR="00E62DD7">
        <w:rPr>
          <w:sz w:val="22"/>
          <w:szCs w:val="22"/>
        </w:rPr>
        <w:t xml:space="preserve"> 4,179</w:t>
      </w:r>
      <w:r w:rsidRPr="00120052">
        <w:rPr>
          <w:sz w:val="22"/>
          <w:szCs w:val="22"/>
        </w:rPr>
        <w:t xml:space="preserve">, while Coffs Harbour </w:t>
      </w:r>
      <w:r w:rsidR="00E62DD7">
        <w:rPr>
          <w:sz w:val="22"/>
          <w:szCs w:val="22"/>
        </w:rPr>
        <w:t xml:space="preserve">(3,589) </w:t>
      </w:r>
      <w:r w:rsidRPr="00120052">
        <w:rPr>
          <w:sz w:val="22"/>
          <w:szCs w:val="22"/>
        </w:rPr>
        <w:t xml:space="preserve">and Port Macquarie Hastings </w:t>
      </w:r>
      <w:r w:rsidR="00E62DD7">
        <w:rPr>
          <w:sz w:val="22"/>
          <w:szCs w:val="22"/>
        </w:rPr>
        <w:t xml:space="preserve">(3,492) </w:t>
      </w:r>
      <w:r w:rsidRPr="00120052">
        <w:rPr>
          <w:sz w:val="22"/>
          <w:szCs w:val="22"/>
        </w:rPr>
        <w:t>also have a significant number.</w:t>
      </w:r>
    </w:p>
    <w:p w14:paraId="58B2D242" w14:textId="77777777" w:rsidR="0050388E" w:rsidRPr="00120052" w:rsidRDefault="0050388E" w:rsidP="0050388E">
      <w:pPr>
        <w:numPr>
          <w:ilvl w:val="0"/>
          <w:numId w:val="34"/>
        </w:numPr>
        <w:spacing w:before="0" w:after="0"/>
        <w:rPr>
          <w:sz w:val="22"/>
          <w:szCs w:val="22"/>
        </w:rPr>
      </w:pPr>
      <w:r w:rsidRPr="00120052">
        <w:rPr>
          <w:sz w:val="22"/>
          <w:szCs w:val="22"/>
        </w:rPr>
        <w:t>S</w:t>
      </w:r>
      <w:r w:rsidR="00E62DD7">
        <w:rPr>
          <w:sz w:val="22"/>
          <w:szCs w:val="22"/>
        </w:rPr>
        <w:t>ix</w:t>
      </w:r>
      <w:r w:rsidRPr="00120052">
        <w:rPr>
          <w:sz w:val="22"/>
          <w:szCs w:val="22"/>
        </w:rPr>
        <w:t xml:space="preserve"> North Coast LGAs have a higher percentage of CRA recipients in housing stress than the average for the Rest of NSW</w:t>
      </w:r>
      <w:r w:rsidR="00E62DD7">
        <w:rPr>
          <w:sz w:val="22"/>
          <w:szCs w:val="22"/>
        </w:rPr>
        <w:t xml:space="preserve"> of 39.2%</w:t>
      </w:r>
      <w:r w:rsidRPr="00120052">
        <w:rPr>
          <w:sz w:val="22"/>
          <w:szCs w:val="22"/>
        </w:rPr>
        <w:t xml:space="preserve"> (Ballina,</w:t>
      </w:r>
      <w:r w:rsidR="00E62DD7">
        <w:rPr>
          <w:sz w:val="22"/>
          <w:szCs w:val="22"/>
        </w:rPr>
        <w:t xml:space="preserve"> Bellingen,</w:t>
      </w:r>
      <w:r w:rsidRPr="00120052">
        <w:rPr>
          <w:sz w:val="22"/>
          <w:szCs w:val="22"/>
        </w:rPr>
        <w:t xml:space="preserve"> Byron, Coffs Harbour</w:t>
      </w:r>
      <w:r w:rsidR="00E62DD7">
        <w:rPr>
          <w:sz w:val="22"/>
          <w:szCs w:val="22"/>
        </w:rPr>
        <w:t>, Lismore</w:t>
      </w:r>
      <w:r w:rsidRPr="00120052">
        <w:rPr>
          <w:sz w:val="22"/>
          <w:szCs w:val="22"/>
        </w:rPr>
        <w:t xml:space="preserve"> and Tweed).  Byron has the highest proportion in the region with 5</w:t>
      </w:r>
      <w:r w:rsidR="00E62DD7">
        <w:rPr>
          <w:sz w:val="22"/>
          <w:szCs w:val="22"/>
        </w:rPr>
        <w:t>8.6</w:t>
      </w:r>
      <w:r w:rsidRPr="00120052">
        <w:rPr>
          <w:sz w:val="22"/>
          <w:szCs w:val="22"/>
        </w:rPr>
        <w:t xml:space="preserve">%. This demonstrates that many low income North Coast residents are not able to access affordable housing in the region. </w:t>
      </w:r>
    </w:p>
    <w:p w14:paraId="2E6B7ADE" w14:textId="77777777" w:rsidR="0050388E" w:rsidRDefault="00120052" w:rsidP="009476AF">
      <w:pPr>
        <w:ind w:firstLine="360"/>
        <w:rPr>
          <w:sz w:val="20"/>
          <w:szCs w:val="20"/>
        </w:rPr>
      </w:pPr>
      <w:r w:rsidRPr="00120052">
        <w:rPr>
          <w:noProof/>
        </w:rPr>
        <w:drawing>
          <wp:inline distT="0" distB="0" distL="0" distR="0" wp14:anchorId="3F26ABAC" wp14:editId="4994B26F">
            <wp:extent cx="3371850" cy="3590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3590925"/>
                    </a:xfrm>
                    <a:prstGeom prst="rect">
                      <a:avLst/>
                    </a:prstGeom>
                    <a:noFill/>
                    <a:ln>
                      <a:noFill/>
                    </a:ln>
                  </pic:spPr>
                </pic:pic>
              </a:graphicData>
            </a:graphic>
          </wp:inline>
        </w:drawing>
      </w:r>
    </w:p>
    <w:p w14:paraId="24E5FBCA" w14:textId="77777777" w:rsidR="00D867FD" w:rsidRDefault="00D867FD" w:rsidP="0050388E">
      <w:pPr>
        <w:rPr>
          <w:b/>
          <w:color w:val="008000"/>
          <w:sz w:val="32"/>
        </w:rPr>
      </w:pPr>
    </w:p>
    <w:p w14:paraId="25F94AED" w14:textId="77777777" w:rsidR="0050388E" w:rsidRDefault="0050388E" w:rsidP="0050388E">
      <w:pPr>
        <w:rPr>
          <w:b/>
          <w:color w:val="008000"/>
          <w:sz w:val="32"/>
        </w:rPr>
      </w:pPr>
      <w:r>
        <w:rPr>
          <w:b/>
          <w:color w:val="008000"/>
          <w:sz w:val="32"/>
        </w:rPr>
        <w:t>Loss of Affordable Housing Stock</w:t>
      </w:r>
    </w:p>
    <w:p w14:paraId="67BC3811" w14:textId="77777777" w:rsidR="0050388E" w:rsidRPr="00686ACF" w:rsidRDefault="00B87826" w:rsidP="0050388E">
      <w:pPr>
        <w:numPr>
          <w:ilvl w:val="0"/>
          <w:numId w:val="21"/>
        </w:numPr>
        <w:spacing w:before="0" w:after="0"/>
        <w:rPr>
          <w:sz w:val="22"/>
          <w:szCs w:val="22"/>
        </w:rPr>
      </w:pPr>
      <w:r w:rsidRPr="00686ACF">
        <w:rPr>
          <w:sz w:val="22"/>
          <w:szCs w:val="22"/>
        </w:rPr>
        <w:t>The Department of Communities and Justice (DCJ)</w:t>
      </w:r>
      <w:r w:rsidR="0050388E" w:rsidRPr="00686ACF">
        <w:rPr>
          <w:sz w:val="22"/>
          <w:szCs w:val="22"/>
        </w:rPr>
        <w:t xml:space="preserve"> has calculated the number of new bonds lodged that were affordable to low income earners on the North Coast in 2017</w:t>
      </w:r>
      <w:r w:rsidR="00686ACF">
        <w:rPr>
          <w:sz w:val="22"/>
          <w:szCs w:val="22"/>
        </w:rPr>
        <w:t>, 2021 and 2022</w:t>
      </w:r>
      <w:r w:rsidR="0050388E" w:rsidRPr="00686ACF">
        <w:rPr>
          <w:sz w:val="22"/>
          <w:szCs w:val="22"/>
        </w:rPr>
        <w:t xml:space="preserve">. </w:t>
      </w:r>
    </w:p>
    <w:p w14:paraId="3ABFD970" w14:textId="77777777" w:rsidR="0050388E" w:rsidRPr="00D006AD" w:rsidRDefault="0050388E" w:rsidP="001F2DEF">
      <w:pPr>
        <w:numPr>
          <w:ilvl w:val="0"/>
          <w:numId w:val="21"/>
        </w:numPr>
        <w:spacing w:before="0" w:after="0"/>
        <w:rPr>
          <w:sz w:val="22"/>
          <w:szCs w:val="22"/>
        </w:rPr>
      </w:pPr>
      <w:r w:rsidRPr="00D006AD">
        <w:rPr>
          <w:sz w:val="22"/>
          <w:szCs w:val="22"/>
        </w:rPr>
        <w:t>All North Coast region LGAs experienced a significant loss of affordable private rental housing stock between 20</w:t>
      </w:r>
      <w:r w:rsidR="00D611B5" w:rsidRPr="00D006AD">
        <w:rPr>
          <w:sz w:val="22"/>
          <w:szCs w:val="22"/>
        </w:rPr>
        <w:t>17</w:t>
      </w:r>
      <w:r w:rsidRPr="00D006AD">
        <w:rPr>
          <w:sz w:val="22"/>
          <w:szCs w:val="22"/>
        </w:rPr>
        <w:t xml:space="preserve"> and 20</w:t>
      </w:r>
      <w:r w:rsidR="00686ACF" w:rsidRPr="00D006AD">
        <w:rPr>
          <w:sz w:val="22"/>
          <w:szCs w:val="22"/>
        </w:rPr>
        <w:t>22</w:t>
      </w:r>
      <w:r w:rsidRPr="00D006AD">
        <w:rPr>
          <w:sz w:val="22"/>
          <w:szCs w:val="22"/>
        </w:rPr>
        <w:t xml:space="preserve">, averaging </w:t>
      </w:r>
      <w:r w:rsidR="00D611B5" w:rsidRPr="00D006AD">
        <w:rPr>
          <w:sz w:val="22"/>
          <w:szCs w:val="22"/>
        </w:rPr>
        <w:t>-43.5</w:t>
      </w:r>
      <w:r w:rsidRPr="00D006AD">
        <w:rPr>
          <w:sz w:val="22"/>
          <w:szCs w:val="22"/>
        </w:rPr>
        <w:t>% fewer affordable bonds lodged in 20</w:t>
      </w:r>
      <w:r w:rsidR="00686ACF" w:rsidRPr="00D006AD">
        <w:rPr>
          <w:sz w:val="22"/>
          <w:szCs w:val="22"/>
        </w:rPr>
        <w:t>22</w:t>
      </w:r>
      <w:r w:rsidRPr="00D006AD">
        <w:rPr>
          <w:sz w:val="22"/>
          <w:szCs w:val="22"/>
        </w:rPr>
        <w:t xml:space="preserve"> than in 20</w:t>
      </w:r>
      <w:r w:rsidR="00D611B5" w:rsidRPr="00D006AD">
        <w:rPr>
          <w:sz w:val="22"/>
          <w:szCs w:val="22"/>
        </w:rPr>
        <w:t>17</w:t>
      </w:r>
      <w:r w:rsidRPr="00D006AD">
        <w:rPr>
          <w:sz w:val="22"/>
          <w:szCs w:val="22"/>
        </w:rPr>
        <w:t xml:space="preserve">.  A total of </w:t>
      </w:r>
      <w:r w:rsidR="00D611B5" w:rsidRPr="00D006AD">
        <w:rPr>
          <w:sz w:val="22"/>
          <w:szCs w:val="22"/>
        </w:rPr>
        <w:t>-829 fewer</w:t>
      </w:r>
      <w:r w:rsidRPr="00D006AD">
        <w:rPr>
          <w:sz w:val="22"/>
          <w:szCs w:val="22"/>
        </w:rPr>
        <w:t xml:space="preserve"> affordable private rental </w:t>
      </w:r>
      <w:r w:rsidR="00D611B5" w:rsidRPr="00D006AD">
        <w:rPr>
          <w:sz w:val="22"/>
          <w:szCs w:val="22"/>
        </w:rPr>
        <w:t>bonds were lodged</w:t>
      </w:r>
      <w:r w:rsidRPr="00D006AD">
        <w:rPr>
          <w:sz w:val="22"/>
          <w:szCs w:val="22"/>
        </w:rPr>
        <w:t xml:space="preserve"> in the twelve North Coast LGA’s over this period, with the largest numeric losses occurring in </w:t>
      </w:r>
      <w:r w:rsidR="00D006AD" w:rsidRPr="00D006AD">
        <w:rPr>
          <w:sz w:val="22"/>
          <w:szCs w:val="22"/>
        </w:rPr>
        <w:t>Tweed (-115</w:t>
      </w:r>
      <w:r w:rsidR="00D006AD">
        <w:rPr>
          <w:sz w:val="22"/>
          <w:szCs w:val="22"/>
        </w:rPr>
        <w:t xml:space="preserve"> or -60.5% fewer</w:t>
      </w:r>
      <w:r w:rsidR="00D006AD" w:rsidRPr="00D006AD">
        <w:rPr>
          <w:sz w:val="22"/>
          <w:szCs w:val="22"/>
        </w:rPr>
        <w:t xml:space="preserve">), Port </w:t>
      </w:r>
      <w:r w:rsidRPr="00D006AD">
        <w:rPr>
          <w:sz w:val="22"/>
          <w:szCs w:val="22"/>
        </w:rPr>
        <w:t>Macquarie Hastings (</w:t>
      </w:r>
      <w:r w:rsidR="00D006AD">
        <w:rPr>
          <w:sz w:val="22"/>
          <w:szCs w:val="22"/>
        </w:rPr>
        <w:t>-109</w:t>
      </w:r>
      <w:r w:rsidRPr="00D006AD">
        <w:rPr>
          <w:sz w:val="22"/>
          <w:szCs w:val="22"/>
        </w:rPr>
        <w:t xml:space="preserve"> or </w:t>
      </w:r>
      <w:r w:rsidR="00196D4D">
        <w:rPr>
          <w:sz w:val="22"/>
          <w:szCs w:val="22"/>
        </w:rPr>
        <w:t>-34.0</w:t>
      </w:r>
      <w:r w:rsidRPr="00D006AD">
        <w:rPr>
          <w:sz w:val="22"/>
          <w:szCs w:val="22"/>
        </w:rPr>
        <w:t>% fewer)</w:t>
      </w:r>
      <w:r w:rsidR="00686ACF" w:rsidRPr="00D006AD">
        <w:rPr>
          <w:sz w:val="22"/>
          <w:szCs w:val="22"/>
        </w:rPr>
        <w:t xml:space="preserve">, and </w:t>
      </w:r>
      <w:r w:rsidR="00196D4D">
        <w:rPr>
          <w:sz w:val="22"/>
          <w:szCs w:val="22"/>
        </w:rPr>
        <w:t>Clarence Valley</w:t>
      </w:r>
      <w:r w:rsidR="00686ACF" w:rsidRPr="00D006AD">
        <w:rPr>
          <w:sz w:val="22"/>
          <w:szCs w:val="22"/>
        </w:rPr>
        <w:t xml:space="preserve"> (</w:t>
      </w:r>
      <w:r w:rsidR="00196D4D">
        <w:rPr>
          <w:sz w:val="22"/>
          <w:szCs w:val="22"/>
        </w:rPr>
        <w:t>-108</w:t>
      </w:r>
      <w:r w:rsidR="00686ACF" w:rsidRPr="00D006AD">
        <w:rPr>
          <w:sz w:val="22"/>
          <w:szCs w:val="22"/>
        </w:rPr>
        <w:t xml:space="preserve"> or </w:t>
      </w:r>
      <w:r w:rsidR="00196D4D">
        <w:rPr>
          <w:sz w:val="22"/>
          <w:szCs w:val="22"/>
        </w:rPr>
        <w:t>-40.9</w:t>
      </w:r>
      <w:r w:rsidR="00686ACF" w:rsidRPr="00D006AD">
        <w:rPr>
          <w:sz w:val="22"/>
          <w:szCs w:val="22"/>
        </w:rPr>
        <w:t>% fewer).</w:t>
      </w:r>
    </w:p>
    <w:p w14:paraId="6D0581CA" w14:textId="77777777" w:rsidR="0050388E" w:rsidRPr="00686ACF" w:rsidRDefault="0050388E" w:rsidP="0050388E">
      <w:pPr>
        <w:numPr>
          <w:ilvl w:val="0"/>
          <w:numId w:val="21"/>
        </w:numPr>
        <w:spacing w:before="0" w:after="0"/>
        <w:rPr>
          <w:sz w:val="22"/>
          <w:szCs w:val="22"/>
        </w:rPr>
      </w:pPr>
      <w:r w:rsidRPr="00686ACF">
        <w:rPr>
          <w:sz w:val="22"/>
          <w:szCs w:val="22"/>
        </w:rPr>
        <w:t>At 20</w:t>
      </w:r>
      <w:r w:rsidR="00686ACF">
        <w:rPr>
          <w:sz w:val="22"/>
          <w:szCs w:val="22"/>
        </w:rPr>
        <w:t>22</w:t>
      </w:r>
      <w:r w:rsidRPr="00686ACF">
        <w:rPr>
          <w:sz w:val="22"/>
          <w:szCs w:val="22"/>
        </w:rPr>
        <w:t xml:space="preserve">, Byron had just </w:t>
      </w:r>
      <w:r w:rsidR="00686ACF">
        <w:rPr>
          <w:sz w:val="22"/>
          <w:szCs w:val="22"/>
        </w:rPr>
        <w:t>20</w:t>
      </w:r>
      <w:r w:rsidRPr="00686ACF">
        <w:rPr>
          <w:sz w:val="22"/>
          <w:szCs w:val="22"/>
        </w:rPr>
        <w:t xml:space="preserve"> affordable rental bonds lodged, Kyogle just </w:t>
      </w:r>
      <w:r w:rsidR="00686ACF">
        <w:rPr>
          <w:sz w:val="22"/>
          <w:szCs w:val="22"/>
        </w:rPr>
        <w:t>29, Bellingen 31</w:t>
      </w:r>
      <w:r w:rsidR="00264536">
        <w:rPr>
          <w:sz w:val="22"/>
          <w:szCs w:val="22"/>
        </w:rPr>
        <w:t>,</w:t>
      </w:r>
      <w:r w:rsidRPr="00686ACF">
        <w:rPr>
          <w:sz w:val="22"/>
          <w:szCs w:val="22"/>
        </w:rPr>
        <w:t xml:space="preserve"> Ballina only </w:t>
      </w:r>
      <w:r w:rsidR="00686ACF">
        <w:rPr>
          <w:sz w:val="22"/>
          <w:szCs w:val="22"/>
        </w:rPr>
        <w:t>4</w:t>
      </w:r>
      <w:r w:rsidRPr="00686ACF">
        <w:rPr>
          <w:sz w:val="22"/>
          <w:szCs w:val="22"/>
        </w:rPr>
        <w:t>7</w:t>
      </w:r>
      <w:r w:rsidR="00264536">
        <w:rPr>
          <w:sz w:val="22"/>
          <w:szCs w:val="22"/>
        </w:rPr>
        <w:t xml:space="preserve"> and Nambucca 48</w:t>
      </w:r>
      <w:r w:rsidRPr="00686ACF">
        <w:rPr>
          <w:sz w:val="22"/>
          <w:szCs w:val="22"/>
        </w:rPr>
        <w:t>.</w:t>
      </w:r>
      <w:r w:rsidR="00196D4D">
        <w:rPr>
          <w:sz w:val="22"/>
          <w:szCs w:val="22"/>
        </w:rPr>
        <w:t xml:space="preserve">  In fact Nambucca had the </w:t>
      </w:r>
      <w:r w:rsidR="00196D4D">
        <w:rPr>
          <w:sz w:val="22"/>
          <w:szCs w:val="22"/>
        </w:rPr>
        <w:lastRenderedPageBreak/>
        <w:t>largest proportion reduction in private rental bonds lodged affordable to low income households, with -65.0% fewer in 2022 than in 2017.</w:t>
      </w:r>
    </w:p>
    <w:p w14:paraId="07511600" w14:textId="77777777" w:rsidR="0050388E" w:rsidRPr="00686ACF" w:rsidRDefault="0050388E" w:rsidP="00127518">
      <w:pPr>
        <w:numPr>
          <w:ilvl w:val="0"/>
          <w:numId w:val="21"/>
        </w:numPr>
        <w:spacing w:before="0" w:after="0"/>
        <w:rPr>
          <w:sz w:val="22"/>
          <w:szCs w:val="22"/>
        </w:rPr>
      </w:pPr>
      <w:r w:rsidRPr="00686ACF">
        <w:rPr>
          <w:sz w:val="22"/>
          <w:szCs w:val="22"/>
        </w:rPr>
        <w:t>This loss of affordab</w:t>
      </w:r>
      <w:r w:rsidR="00963921">
        <w:rPr>
          <w:sz w:val="22"/>
          <w:szCs w:val="22"/>
        </w:rPr>
        <w:t>le rental housing is concerning</w:t>
      </w:r>
      <w:r w:rsidRPr="00686ACF">
        <w:rPr>
          <w:sz w:val="22"/>
          <w:szCs w:val="22"/>
        </w:rPr>
        <w:t xml:space="preserve">.  Significant losses are occurring in places that have historically been amongst the more affordable North Coast LGAs. </w:t>
      </w:r>
    </w:p>
    <w:p w14:paraId="4CC5BBF7" w14:textId="77777777" w:rsidR="0050388E" w:rsidRDefault="0050388E" w:rsidP="0050388E">
      <w:pPr>
        <w:numPr>
          <w:ilvl w:val="0"/>
          <w:numId w:val="21"/>
        </w:numPr>
        <w:spacing w:before="0" w:after="0"/>
        <w:rPr>
          <w:sz w:val="22"/>
          <w:szCs w:val="22"/>
        </w:rPr>
      </w:pPr>
      <w:r w:rsidRPr="00686ACF">
        <w:rPr>
          <w:sz w:val="22"/>
          <w:szCs w:val="22"/>
        </w:rPr>
        <w:t>The table below shows the number of new bonds lodged that were affordable to low income households in 2017</w:t>
      </w:r>
      <w:r w:rsidR="00B917CF">
        <w:rPr>
          <w:sz w:val="22"/>
          <w:szCs w:val="22"/>
        </w:rPr>
        <w:t>, 2021 and 2022</w:t>
      </w:r>
      <w:r w:rsidRPr="00686ACF">
        <w:rPr>
          <w:sz w:val="22"/>
          <w:szCs w:val="22"/>
        </w:rPr>
        <w:t>.</w:t>
      </w:r>
    </w:p>
    <w:p w14:paraId="58C8D4E3" w14:textId="77777777" w:rsidR="00D95027" w:rsidRDefault="00D95027" w:rsidP="00D95027">
      <w:pPr>
        <w:spacing w:before="0" w:after="0"/>
        <w:rPr>
          <w:sz w:val="22"/>
          <w:szCs w:val="22"/>
        </w:rPr>
      </w:pPr>
    </w:p>
    <w:p w14:paraId="15FADF60" w14:textId="77777777" w:rsidR="00D95027" w:rsidRPr="00686ACF" w:rsidRDefault="00D611B5" w:rsidP="0014190D">
      <w:pPr>
        <w:spacing w:before="0" w:after="0"/>
        <w:ind w:firstLine="360"/>
        <w:rPr>
          <w:sz w:val="22"/>
          <w:szCs w:val="22"/>
        </w:rPr>
      </w:pPr>
      <w:r w:rsidRPr="00D611B5">
        <w:rPr>
          <w:noProof/>
        </w:rPr>
        <w:drawing>
          <wp:inline distT="0" distB="0" distL="0" distR="0" wp14:anchorId="688E3B11" wp14:editId="337CE6D9">
            <wp:extent cx="4096987" cy="3744876"/>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00977" cy="3748523"/>
                    </a:xfrm>
                    <a:prstGeom prst="rect">
                      <a:avLst/>
                    </a:prstGeom>
                    <a:noFill/>
                    <a:ln>
                      <a:noFill/>
                    </a:ln>
                  </pic:spPr>
                </pic:pic>
              </a:graphicData>
            </a:graphic>
          </wp:inline>
        </w:drawing>
      </w:r>
    </w:p>
    <w:p w14:paraId="518F71DA" w14:textId="77777777" w:rsidR="0050388E" w:rsidRDefault="0050388E" w:rsidP="0050388E">
      <w:pPr>
        <w:ind w:left="360"/>
        <w:rPr>
          <w:sz w:val="18"/>
          <w:szCs w:val="18"/>
        </w:rPr>
      </w:pPr>
    </w:p>
    <w:p w14:paraId="070F92CA" w14:textId="77777777" w:rsidR="0050388E" w:rsidRDefault="0050388E" w:rsidP="0050388E">
      <w:pPr>
        <w:ind w:left="360"/>
        <w:rPr>
          <w:sz w:val="18"/>
          <w:szCs w:val="18"/>
        </w:rPr>
      </w:pPr>
    </w:p>
    <w:p w14:paraId="7B7EF3A5" w14:textId="77777777" w:rsidR="0050388E" w:rsidRPr="001024BF" w:rsidRDefault="0050388E" w:rsidP="0050388E">
      <w:pPr>
        <w:rPr>
          <w:b/>
          <w:bCs/>
          <w:i/>
          <w:iCs/>
          <w:color w:val="008000"/>
          <w:sz w:val="32"/>
        </w:rPr>
      </w:pPr>
      <w:r>
        <w:rPr>
          <w:b/>
          <w:bCs/>
          <w:i/>
          <w:iCs/>
          <w:color w:val="008000"/>
          <w:sz w:val="32"/>
        </w:rPr>
        <w:t>Housing Market - Purchase</w:t>
      </w:r>
    </w:p>
    <w:p w14:paraId="0DF83FE2" w14:textId="77777777" w:rsidR="0050388E" w:rsidRDefault="0050388E" w:rsidP="0050388E">
      <w:pPr>
        <w:rPr>
          <w:b/>
          <w:color w:val="008000"/>
          <w:sz w:val="32"/>
        </w:rPr>
      </w:pPr>
      <w:r>
        <w:rPr>
          <w:b/>
          <w:color w:val="008000"/>
          <w:sz w:val="32"/>
        </w:rPr>
        <w:t>Sales Price</w:t>
      </w:r>
    </w:p>
    <w:p w14:paraId="07B7709C" w14:textId="2CD7C87C" w:rsidR="0050388E" w:rsidRPr="00885A40" w:rsidRDefault="0050388E" w:rsidP="0050388E">
      <w:pPr>
        <w:numPr>
          <w:ilvl w:val="0"/>
          <w:numId w:val="32"/>
        </w:numPr>
        <w:spacing w:before="0" w:after="0"/>
        <w:rPr>
          <w:sz w:val="22"/>
          <w:szCs w:val="22"/>
        </w:rPr>
      </w:pPr>
      <w:r w:rsidRPr="00885A40">
        <w:rPr>
          <w:sz w:val="22"/>
          <w:szCs w:val="22"/>
        </w:rPr>
        <w:t>Changes in the median sales price of both houses and flats over the ten years to March 20</w:t>
      </w:r>
      <w:r w:rsidR="00CF2658" w:rsidRPr="00885A40">
        <w:rPr>
          <w:sz w:val="22"/>
          <w:szCs w:val="22"/>
        </w:rPr>
        <w:t>22</w:t>
      </w:r>
      <w:r w:rsidRPr="00885A40">
        <w:rPr>
          <w:sz w:val="22"/>
          <w:szCs w:val="22"/>
        </w:rPr>
        <w:t xml:space="preserve"> have been upward</w:t>
      </w:r>
      <w:r w:rsidR="0014190D">
        <w:rPr>
          <w:sz w:val="22"/>
          <w:szCs w:val="22"/>
        </w:rPr>
        <w:t xml:space="preserve"> in the North Coast</w:t>
      </w:r>
      <w:r w:rsidRPr="00885A40">
        <w:rPr>
          <w:sz w:val="22"/>
          <w:szCs w:val="22"/>
        </w:rPr>
        <w:t xml:space="preserve">.  </w:t>
      </w:r>
    </w:p>
    <w:p w14:paraId="2367CA4B" w14:textId="6D32FC36" w:rsidR="0050388E" w:rsidRPr="00885A40" w:rsidRDefault="00885A40" w:rsidP="0050388E">
      <w:pPr>
        <w:numPr>
          <w:ilvl w:val="0"/>
          <w:numId w:val="32"/>
        </w:numPr>
        <w:spacing w:before="0" w:after="0"/>
        <w:rPr>
          <w:sz w:val="22"/>
          <w:szCs w:val="22"/>
        </w:rPr>
      </w:pPr>
      <w:r w:rsidRPr="00885A40">
        <w:rPr>
          <w:sz w:val="22"/>
          <w:szCs w:val="22"/>
        </w:rPr>
        <w:t>Byron (276.6</w:t>
      </w:r>
      <w:r w:rsidR="0050388E" w:rsidRPr="00885A40">
        <w:rPr>
          <w:sz w:val="22"/>
          <w:szCs w:val="22"/>
        </w:rPr>
        <w:t>%), Bellingen (</w:t>
      </w:r>
      <w:r w:rsidRPr="00885A40">
        <w:rPr>
          <w:sz w:val="22"/>
          <w:szCs w:val="22"/>
        </w:rPr>
        <w:t>182.6</w:t>
      </w:r>
      <w:r w:rsidR="0050388E" w:rsidRPr="00885A40">
        <w:rPr>
          <w:sz w:val="22"/>
          <w:szCs w:val="22"/>
        </w:rPr>
        <w:t>%)</w:t>
      </w:r>
      <w:r w:rsidRPr="00885A40">
        <w:rPr>
          <w:sz w:val="22"/>
          <w:szCs w:val="22"/>
        </w:rPr>
        <w:t>, Tweed (177.4%), Ballina (156.7%) and Lismore (147.9%)</w:t>
      </w:r>
      <w:r w:rsidR="0050388E" w:rsidRPr="00885A40">
        <w:rPr>
          <w:sz w:val="22"/>
          <w:szCs w:val="22"/>
        </w:rPr>
        <w:t xml:space="preserve"> had the largest proportional increase in median sales price for houses over this period</w:t>
      </w:r>
      <w:r w:rsidR="0014190D">
        <w:rPr>
          <w:sz w:val="22"/>
          <w:szCs w:val="22"/>
        </w:rPr>
        <w:t xml:space="preserve"> within the North Coast region</w:t>
      </w:r>
      <w:r w:rsidR="0050388E" w:rsidRPr="00885A40">
        <w:rPr>
          <w:sz w:val="22"/>
          <w:szCs w:val="22"/>
        </w:rPr>
        <w:t>.</w:t>
      </w:r>
    </w:p>
    <w:p w14:paraId="5FC86CDF" w14:textId="1549C8A0" w:rsidR="0050388E" w:rsidRPr="00885A40" w:rsidRDefault="0050388E" w:rsidP="0050388E">
      <w:pPr>
        <w:numPr>
          <w:ilvl w:val="0"/>
          <w:numId w:val="32"/>
        </w:numPr>
        <w:spacing w:before="0" w:after="0"/>
        <w:rPr>
          <w:sz w:val="22"/>
          <w:szCs w:val="22"/>
        </w:rPr>
      </w:pPr>
      <w:r w:rsidRPr="00885A40">
        <w:rPr>
          <w:sz w:val="22"/>
          <w:szCs w:val="22"/>
        </w:rPr>
        <w:t>For strata properties, Ballina (</w:t>
      </w:r>
      <w:r w:rsidR="00885A40" w:rsidRPr="00885A40">
        <w:rPr>
          <w:sz w:val="22"/>
          <w:szCs w:val="22"/>
        </w:rPr>
        <w:t>139.5</w:t>
      </w:r>
      <w:r w:rsidRPr="00885A40">
        <w:rPr>
          <w:sz w:val="22"/>
          <w:szCs w:val="22"/>
        </w:rPr>
        <w:t xml:space="preserve">%) </w:t>
      </w:r>
      <w:r w:rsidR="00885A40" w:rsidRPr="00885A40">
        <w:rPr>
          <w:sz w:val="22"/>
          <w:szCs w:val="22"/>
        </w:rPr>
        <w:t xml:space="preserve">and Tweed (141.9%) </w:t>
      </w:r>
      <w:r w:rsidRPr="00885A40">
        <w:rPr>
          <w:sz w:val="22"/>
          <w:szCs w:val="22"/>
        </w:rPr>
        <w:t xml:space="preserve">had the largest proportional increase in median </w:t>
      </w:r>
      <w:r w:rsidR="00885A40" w:rsidRPr="00885A40">
        <w:rPr>
          <w:sz w:val="22"/>
          <w:szCs w:val="22"/>
        </w:rPr>
        <w:t xml:space="preserve">sales price </w:t>
      </w:r>
      <w:r w:rsidRPr="00885A40">
        <w:rPr>
          <w:sz w:val="22"/>
          <w:szCs w:val="22"/>
        </w:rPr>
        <w:t>over the ten year time frame.</w:t>
      </w:r>
    </w:p>
    <w:p w14:paraId="270587BF" w14:textId="77777777" w:rsidR="0050388E" w:rsidRPr="00885A40" w:rsidRDefault="0050388E" w:rsidP="0050388E">
      <w:pPr>
        <w:numPr>
          <w:ilvl w:val="0"/>
          <w:numId w:val="32"/>
        </w:numPr>
        <w:spacing w:before="0" w:after="0"/>
        <w:rPr>
          <w:sz w:val="22"/>
          <w:szCs w:val="22"/>
        </w:rPr>
      </w:pPr>
      <w:r w:rsidRPr="00885A40">
        <w:rPr>
          <w:sz w:val="22"/>
          <w:szCs w:val="22"/>
        </w:rPr>
        <w:t>At March 20</w:t>
      </w:r>
      <w:r w:rsidR="005A4E9D">
        <w:rPr>
          <w:sz w:val="22"/>
          <w:szCs w:val="22"/>
        </w:rPr>
        <w:t>22</w:t>
      </w:r>
      <w:r w:rsidRPr="00885A40">
        <w:rPr>
          <w:sz w:val="22"/>
          <w:szCs w:val="22"/>
        </w:rPr>
        <w:t>, Byron had the highest median sales price for houses with $</w:t>
      </w:r>
      <w:r w:rsidR="00885A40" w:rsidRPr="00885A40">
        <w:rPr>
          <w:sz w:val="22"/>
          <w:szCs w:val="22"/>
        </w:rPr>
        <w:t>2,120</w:t>
      </w:r>
      <w:r w:rsidRPr="00885A40">
        <w:rPr>
          <w:sz w:val="22"/>
          <w:szCs w:val="22"/>
        </w:rPr>
        <w:t>,000, followed by $</w:t>
      </w:r>
      <w:r w:rsidR="00885A40" w:rsidRPr="00885A40">
        <w:rPr>
          <w:sz w:val="22"/>
          <w:szCs w:val="22"/>
        </w:rPr>
        <w:t>1,240</w:t>
      </w:r>
      <w:r w:rsidRPr="00885A40">
        <w:rPr>
          <w:sz w:val="22"/>
          <w:szCs w:val="22"/>
        </w:rPr>
        <w:t>,000 in Ballina</w:t>
      </w:r>
      <w:r w:rsidR="00885A40" w:rsidRPr="00885A40">
        <w:rPr>
          <w:sz w:val="22"/>
          <w:szCs w:val="22"/>
        </w:rPr>
        <w:t>,</w:t>
      </w:r>
      <w:r w:rsidRPr="00885A40">
        <w:rPr>
          <w:sz w:val="22"/>
          <w:szCs w:val="22"/>
        </w:rPr>
        <w:t xml:space="preserve"> $</w:t>
      </w:r>
      <w:r w:rsidR="00885A40" w:rsidRPr="00885A40">
        <w:rPr>
          <w:sz w:val="22"/>
          <w:szCs w:val="22"/>
        </w:rPr>
        <w:t>1,237</w:t>
      </w:r>
      <w:r w:rsidRPr="00885A40">
        <w:rPr>
          <w:sz w:val="22"/>
          <w:szCs w:val="22"/>
        </w:rPr>
        <w:t>,000 in Tweed</w:t>
      </w:r>
      <w:r w:rsidR="00885A40" w:rsidRPr="00885A40">
        <w:rPr>
          <w:sz w:val="22"/>
          <w:szCs w:val="22"/>
        </w:rPr>
        <w:t xml:space="preserve"> and $1,026,000 in Bellingen</w:t>
      </w:r>
      <w:r w:rsidRPr="00885A40">
        <w:rPr>
          <w:sz w:val="22"/>
          <w:szCs w:val="22"/>
        </w:rPr>
        <w:t xml:space="preserve">.  </w:t>
      </w:r>
      <w:r w:rsidR="00885A40" w:rsidRPr="00885A40">
        <w:rPr>
          <w:sz w:val="22"/>
          <w:szCs w:val="22"/>
        </w:rPr>
        <w:t xml:space="preserve">Ballina </w:t>
      </w:r>
      <w:r w:rsidRPr="00885A40">
        <w:rPr>
          <w:sz w:val="22"/>
          <w:szCs w:val="22"/>
        </w:rPr>
        <w:t>had the highest median sales price for flats at March 20</w:t>
      </w:r>
      <w:r w:rsidR="00885A40" w:rsidRPr="00885A40">
        <w:rPr>
          <w:sz w:val="22"/>
          <w:szCs w:val="22"/>
        </w:rPr>
        <w:t>22</w:t>
      </w:r>
      <w:r w:rsidRPr="00885A40">
        <w:rPr>
          <w:sz w:val="22"/>
          <w:szCs w:val="22"/>
        </w:rPr>
        <w:t xml:space="preserve"> with $</w:t>
      </w:r>
      <w:r w:rsidR="00885A40" w:rsidRPr="00885A40">
        <w:rPr>
          <w:sz w:val="22"/>
          <w:szCs w:val="22"/>
        </w:rPr>
        <w:t>812</w:t>
      </w:r>
      <w:r w:rsidRPr="00885A40">
        <w:rPr>
          <w:sz w:val="22"/>
          <w:szCs w:val="22"/>
        </w:rPr>
        <w:t xml:space="preserve">,000, </w:t>
      </w:r>
      <w:r w:rsidR="00885A40" w:rsidRPr="00885A40">
        <w:rPr>
          <w:sz w:val="22"/>
          <w:szCs w:val="22"/>
        </w:rPr>
        <w:t xml:space="preserve">followed by </w:t>
      </w:r>
      <w:r w:rsidRPr="00885A40">
        <w:rPr>
          <w:sz w:val="22"/>
          <w:szCs w:val="22"/>
        </w:rPr>
        <w:t>Tweed with $</w:t>
      </w:r>
      <w:r w:rsidR="00885A40" w:rsidRPr="00885A40">
        <w:rPr>
          <w:sz w:val="22"/>
          <w:szCs w:val="22"/>
        </w:rPr>
        <w:t>716</w:t>
      </w:r>
      <w:r w:rsidRPr="00885A40">
        <w:rPr>
          <w:sz w:val="22"/>
          <w:szCs w:val="22"/>
        </w:rPr>
        <w:t>,000.</w:t>
      </w:r>
    </w:p>
    <w:p w14:paraId="1A3570F9" w14:textId="77777777" w:rsidR="0050388E" w:rsidRPr="00885A40" w:rsidRDefault="0050388E" w:rsidP="0050388E">
      <w:pPr>
        <w:numPr>
          <w:ilvl w:val="0"/>
          <w:numId w:val="32"/>
        </w:numPr>
        <w:spacing w:before="0" w:after="0"/>
        <w:rPr>
          <w:sz w:val="22"/>
          <w:szCs w:val="22"/>
        </w:rPr>
      </w:pPr>
      <w:r w:rsidRPr="00885A40">
        <w:rPr>
          <w:sz w:val="22"/>
          <w:szCs w:val="22"/>
        </w:rPr>
        <w:lastRenderedPageBreak/>
        <w:t>The table below shows changes in the median sales price of both houses and flats over the last ten years in the North Coast region.</w:t>
      </w:r>
    </w:p>
    <w:p w14:paraId="010DE284" w14:textId="77777777" w:rsidR="00B17366" w:rsidRDefault="00EB02D9" w:rsidP="0050388E">
      <w:pPr>
        <w:rPr>
          <w:sz w:val="20"/>
          <w:szCs w:val="20"/>
        </w:rPr>
      </w:pPr>
      <w:r w:rsidRPr="00EB02D9">
        <w:rPr>
          <w:noProof/>
        </w:rPr>
        <w:drawing>
          <wp:inline distT="0" distB="0" distL="0" distR="0" wp14:anchorId="59B0ED58" wp14:editId="738E32FD">
            <wp:extent cx="5274310" cy="24660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466025"/>
                    </a:xfrm>
                    <a:prstGeom prst="rect">
                      <a:avLst/>
                    </a:prstGeom>
                    <a:noFill/>
                    <a:ln>
                      <a:noFill/>
                    </a:ln>
                  </pic:spPr>
                </pic:pic>
              </a:graphicData>
            </a:graphic>
          </wp:inline>
        </w:drawing>
      </w:r>
    </w:p>
    <w:p w14:paraId="0CB79CA0" w14:textId="77777777" w:rsidR="00EB02D9" w:rsidRPr="00EC1F46" w:rsidRDefault="00EC1F46" w:rsidP="00885A40">
      <w:pPr>
        <w:pStyle w:val="ListParagraph"/>
        <w:numPr>
          <w:ilvl w:val="0"/>
          <w:numId w:val="41"/>
        </w:numPr>
        <w:rPr>
          <w:sz w:val="20"/>
          <w:szCs w:val="20"/>
        </w:rPr>
      </w:pPr>
      <w:r>
        <w:rPr>
          <w:sz w:val="22"/>
          <w:szCs w:val="22"/>
        </w:rPr>
        <w:t>However, between 2019 and 2022 there were more complex changes in the market, as the two tables below demonstrate</w:t>
      </w:r>
      <w:r w:rsidR="00DA5358">
        <w:rPr>
          <w:sz w:val="22"/>
          <w:szCs w:val="22"/>
        </w:rPr>
        <w:t>, with both Covid and floods having an impact</w:t>
      </w:r>
      <w:r>
        <w:rPr>
          <w:sz w:val="22"/>
          <w:szCs w:val="22"/>
        </w:rPr>
        <w:t>.</w:t>
      </w:r>
    </w:p>
    <w:p w14:paraId="7B006237" w14:textId="605B22E7" w:rsidR="00EC1F46" w:rsidRPr="00EC1F46" w:rsidRDefault="00EC1F46" w:rsidP="00885A40">
      <w:pPr>
        <w:pStyle w:val="ListParagraph"/>
        <w:numPr>
          <w:ilvl w:val="0"/>
          <w:numId w:val="41"/>
        </w:numPr>
        <w:rPr>
          <w:sz w:val="20"/>
          <w:szCs w:val="20"/>
        </w:rPr>
      </w:pPr>
      <w:r>
        <w:rPr>
          <w:sz w:val="22"/>
          <w:szCs w:val="22"/>
        </w:rPr>
        <w:t xml:space="preserve">Between March 2019 and 2020 median house and strata prices experienced relatively low growth, with Byron seeing a fall in median house prices over that year.  </w:t>
      </w:r>
      <w:r w:rsidR="009476AF">
        <w:rPr>
          <w:sz w:val="22"/>
          <w:szCs w:val="22"/>
        </w:rPr>
        <w:t>Changes in median sales price</w:t>
      </w:r>
      <w:r>
        <w:rPr>
          <w:sz w:val="22"/>
          <w:szCs w:val="22"/>
        </w:rPr>
        <w:t xml:space="preserve"> for houses ranged between -1.0% in Byron and 15.7% in Bellingen, while for strata the median increase ranged between </w:t>
      </w:r>
      <w:r w:rsidR="00301DB7">
        <w:rPr>
          <w:sz w:val="22"/>
          <w:szCs w:val="22"/>
        </w:rPr>
        <w:t>2.7% in Ballina and 11.5% in Coffs Harbour.</w:t>
      </w:r>
    </w:p>
    <w:p w14:paraId="1282667A" w14:textId="7D434D5C" w:rsidR="00EC1F46" w:rsidRPr="009476AF" w:rsidRDefault="00EC1F46" w:rsidP="00685A8B">
      <w:pPr>
        <w:pStyle w:val="ListParagraph"/>
        <w:numPr>
          <w:ilvl w:val="0"/>
          <w:numId w:val="41"/>
        </w:numPr>
        <w:rPr>
          <w:sz w:val="20"/>
          <w:szCs w:val="20"/>
        </w:rPr>
      </w:pPr>
      <w:r w:rsidRPr="009476AF">
        <w:rPr>
          <w:sz w:val="22"/>
          <w:szCs w:val="22"/>
        </w:rPr>
        <w:t>Between March 2021 and March 2022 there was very strong growth in median house and strata prices.</w:t>
      </w:r>
      <w:r w:rsidR="00301DB7" w:rsidRPr="009476AF">
        <w:rPr>
          <w:sz w:val="22"/>
          <w:szCs w:val="22"/>
        </w:rPr>
        <w:t xml:space="preserve"> Increases in the median sales price for houses ranged between 53.6% in Lismore and 20.3% in Richmond Valley, while for strata between 34.8% in Tweed and 18.8% in Port Macquarie Hastings.</w:t>
      </w:r>
    </w:p>
    <w:p w14:paraId="2FA220F3" w14:textId="77777777" w:rsidR="00EB02D9" w:rsidRDefault="00EB02D9" w:rsidP="0050388E">
      <w:pPr>
        <w:rPr>
          <w:sz w:val="20"/>
          <w:szCs w:val="20"/>
        </w:rPr>
      </w:pPr>
      <w:r w:rsidRPr="00EB02D9">
        <w:rPr>
          <w:noProof/>
        </w:rPr>
        <w:drawing>
          <wp:inline distT="0" distB="0" distL="0" distR="0" wp14:anchorId="314714F0" wp14:editId="0EFB0CF0">
            <wp:extent cx="5274310" cy="217815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2178157"/>
                    </a:xfrm>
                    <a:prstGeom prst="rect">
                      <a:avLst/>
                    </a:prstGeom>
                    <a:noFill/>
                    <a:ln>
                      <a:noFill/>
                    </a:ln>
                  </pic:spPr>
                </pic:pic>
              </a:graphicData>
            </a:graphic>
          </wp:inline>
        </w:drawing>
      </w:r>
    </w:p>
    <w:p w14:paraId="79D6E0D1" w14:textId="77777777" w:rsidR="00EB02D9" w:rsidRDefault="00EB02D9" w:rsidP="0050388E">
      <w:pPr>
        <w:rPr>
          <w:sz w:val="20"/>
          <w:szCs w:val="20"/>
        </w:rPr>
      </w:pPr>
    </w:p>
    <w:p w14:paraId="437BAA43" w14:textId="77777777" w:rsidR="00EB02D9" w:rsidRDefault="00EB02D9" w:rsidP="0050388E">
      <w:pPr>
        <w:rPr>
          <w:sz w:val="20"/>
          <w:szCs w:val="20"/>
        </w:rPr>
      </w:pPr>
      <w:r w:rsidRPr="00EB02D9">
        <w:rPr>
          <w:noProof/>
        </w:rPr>
        <w:lastRenderedPageBreak/>
        <w:drawing>
          <wp:inline distT="0" distB="0" distL="0" distR="0" wp14:anchorId="502C0D2E" wp14:editId="45028E2E">
            <wp:extent cx="5274310" cy="1009797"/>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1009797"/>
                    </a:xfrm>
                    <a:prstGeom prst="rect">
                      <a:avLst/>
                    </a:prstGeom>
                    <a:noFill/>
                    <a:ln>
                      <a:noFill/>
                    </a:ln>
                  </pic:spPr>
                </pic:pic>
              </a:graphicData>
            </a:graphic>
          </wp:inline>
        </w:drawing>
      </w:r>
    </w:p>
    <w:p w14:paraId="2A346CE3" w14:textId="77777777" w:rsidR="0050388E" w:rsidRPr="00255D52" w:rsidRDefault="0050388E" w:rsidP="0050388E">
      <w:pPr>
        <w:numPr>
          <w:ilvl w:val="0"/>
          <w:numId w:val="35"/>
        </w:numPr>
        <w:spacing w:before="0" w:after="0"/>
        <w:ind w:left="360"/>
        <w:rPr>
          <w:sz w:val="22"/>
          <w:szCs w:val="22"/>
        </w:rPr>
      </w:pPr>
      <w:r w:rsidRPr="00255D52">
        <w:rPr>
          <w:sz w:val="22"/>
          <w:szCs w:val="22"/>
        </w:rPr>
        <w:t xml:space="preserve">The long term median sales price trend for houses and flats shows growth across all LGAs, particularly from around 2002.  </w:t>
      </w:r>
    </w:p>
    <w:p w14:paraId="38420D1E" w14:textId="77777777" w:rsidR="0050388E" w:rsidRPr="00255D52" w:rsidRDefault="0050388E" w:rsidP="0050388E">
      <w:pPr>
        <w:numPr>
          <w:ilvl w:val="0"/>
          <w:numId w:val="35"/>
        </w:numPr>
        <w:spacing w:before="0" w:after="0"/>
        <w:ind w:left="360"/>
        <w:rPr>
          <w:sz w:val="22"/>
          <w:szCs w:val="22"/>
        </w:rPr>
      </w:pPr>
      <w:r w:rsidRPr="00255D52">
        <w:rPr>
          <w:sz w:val="22"/>
          <w:szCs w:val="22"/>
        </w:rPr>
        <w:t>The long term trend for strata properties is similar, with increases occurring primarily after 2001.</w:t>
      </w:r>
    </w:p>
    <w:p w14:paraId="58FE0AC5" w14:textId="3BBF20D2" w:rsidR="0050388E" w:rsidRPr="00255D52" w:rsidRDefault="0050388E" w:rsidP="0050388E">
      <w:pPr>
        <w:numPr>
          <w:ilvl w:val="0"/>
          <w:numId w:val="21"/>
        </w:numPr>
        <w:spacing w:before="0" w:after="0"/>
        <w:rPr>
          <w:sz w:val="22"/>
          <w:szCs w:val="22"/>
        </w:rPr>
      </w:pPr>
      <w:r w:rsidRPr="00255D52">
        <w:rPr>
          <w:sz w:val="22"/>
          <w:szCs w:val="22"/>
        </w:rPr>
        <w:t>The two graphs below show the median sales price trend for houses and for st</w:t>
      </w:r>
      <w:r w:rsidR="00255D52">
        <w:rPr>
          <w:sz w:val="22"/>
          <w:szCs w:val="22"/>
        </w:rPr>
        <w:t>rata properties from 1991 to 2022</w:t>
      </w:r>
      <w:r w:rsidRPr="00255D52">
        <w:rPr>
          <w:sz w:val="22"/>
          <w:szCs w:val="22"/>
        </w:rPr>
        <w:t xml:space="preserve"> in all North Coast LGAs.  </w:t>
      </w:r>
      <w:r w:rsidR="009476AF">
        <w:rPr>
          <w:sz w:val="22"/>
          <w:szCs w:val="22"/>
        </w:rPr>
        <w:t>M</w:t>
      </w:r>
      <w:r w:rsidRPr="00255D52">
        <w:rPr>
          <w:sz w:val="22"/>
          <w:szCs w:val="22"/>
        </w:rPr>
        <w:t>edian sales prices are highest in the far North Coast LGAs of Ballina, Byron and Tweed</w:t>
      </w:r>
      <w:r w:rsidR="00255D52">
        <w:rPr>
          <w:sz w:val="22"/>
          <w:szCs w:val="22"/>
        </w:rPr>
        <w:t>, with Coffs Harbour and Port Macquarie Hastings next highest</w:t>
      </w:r>
      <w:r w:rsidRPr="00255D52">
        <w:rPr>
          <w:sz w:val="22"/>
          <w:szCs w:val="22"/>
        </w:rPr>
        <w:t>.</w:t>
      </w:r>
    </w:p>
    <w:p w14:paraId="25D78B70" w14:textId="7A1B8EE0" w:rsidR="0050388E" w:rsidRDefault="00B17366" w:rsidP="0050388E">
      <w:pPr>
        <w:rPr>
          <w:sz w:val="20"/>
          <w:szCs w:val="20"/>
        </w:rPr>
      </w:pPr>
      <w:r>
        <w:rPr>
          <w:noProof/>
          <w:sz w:val="20"/>
          <w:szCs w:val="20"/>
        </w:rPr>
        <w:drawing>
          <wp:inline distT="0" distB="0" distL="0" distR="0" wp14:anchorId="0E1546D7" wp14:editId="1C652657">
            <wp:extent cx="5781675" cy="27261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494" cy="2739745"/>
                    </a:xfrm>
                    <a:prstGeom prst="rect">
                      <a:avLst/>
                    </a:prstGeom>
                    <a:noFill/>
                  </pic:spPr>
                </pic:pic>
              </a:graphicData>
            </a:graphic>
          </wp:inline>
        </w:drawing>
      </w:r>
    </w:p>
    <w:p w14:paraId="590D196F" w14:textId="77777777" w:rsidR="0050388E" w:rsidRDefault="00B17366" w:rsidP="0050388E">
      <w:pPr>
        <w:rPr>
          <w:sz w:val="20"/>
          <w:szCs w:val="20"/>
        </w:rPr>
      </w:pPr>
      <w:r>
        <w:rPr>
          <w:noProof/>
          <w:sz w:val="20"/>
          <w:szCs w:val="20"/>
        </w:rPr>
        <w:lastRenderedPageBreak/>
        <w:drawing>
          <wp:inline distT="0" distB="0" distL="0" distR="0" wp14:anchorId="25DD5697" wp14:editId="3991B6C1">
            <wp:extent cx="5819775" cy="304722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5472" cy="3065914"/>
                    </a:xfrm>
                    <a:prstGeom prst="rect">
                      <a:avLst/>
                    </a:prstGeom>
                    <a:noFill/>
                  </pic:spPr>
                </pic:pic>
              </a:graphicData>
            </a:graphic>
          </wp:inline>
        </w:drawing>
      </w:r>
    </w:p>
    <w:p w14:paraId="669597AE" w14:textId="77777777" w:rsidR="0050388E" w:rsidRPr="00241849" w:rsidRDefault="0050388E" w:rsidP="0050388E">
      <w:pPr>
        <w:rPr>
          <w:sz w:val="20"/>
          <w:szCs w:val="20"/>
        </w:rPr>
      </w:pPr>
    </w:p>
    <w:p w14:paraId="13E8DEAE" w14:textId="77777777" w:rsidR="0050388E" w:rsidRDefault="0050388E" w:rsidP="0050388E">
      <w:pPr>
        <w:rPr>
          <w:sz w:val="20"/>
          <w:szCs w:val="20"/>
        </w:rPr>
      </w:pPr>
    </w:p>
    <w:p w14:paraId="67B38556" w14:textId="77777777" w:rsidR="0050388E" w:rsidRPr="001C58F3" w:rsidRDefault="0050388E" w:rsidP="0050388E">
      <w:pPr>
        <w:rPr>
          <w:b/>
          <w:color w:val="008000"/>
          <w:sz w:val="32"/>
        </w:rPr>
      </w:pPr>
      <w:r>
        <w:rPr>
          <w:b/>
          <w:color w:val="008000"/>
          <w:sz w:val="32"/>
        </w:rPr>
        <w:t>Purchase Affordability</w:t>
      </w:r>
    </w:p>
    <w:p w14:paraId="6D0F230F" w14:textId="77777777" w:rsidR="00BC29FA" w:rsidRDefault="00BC29FA" w:rsidP="0050388E">
      <w:pPr>
        <w:numPr>
          <w:ilvl w:val="0"/>
          <w:numId w:val="22"/>
        </w:numPr>
        <w:spacing w:before="0" w:after="0"/>
        <w:rPr>
          <w:sz w:val="22"/>
          <w:szCs w:val="22"/>
        </w:rPr>
      </w:pPr>
      <w:r w:rsidRPr="00BC29FA">
        <w:rPr>
          <w:sz w:val="22"/>
          <w:szCs w:val="22"/>
        </w:rPr>
        <w:t>Purchase affordability</w:t>
      </w:r>
      <w:r>
        <w:rPr>
          <w:sz w:val="22"/>
          <w:szCs w:val="22"/>
        </w:rPr>
        <w:t xml:space="preserve"> for very low income households has been extremely low for a long time across much of NSW, including the North Coast.  However, historically there were pockets of the North Coast that were more affordable – for example, Kyogle and Kempsey.  That is no longer the case.</w:t>
      </w:r>
    </w:p>
    <w:p w14:paraId="78C0E916" w14:textId="77777777" w:rsidR="00BC29FA" w:rsidRDefault="00BC29FA" w:rsidP="0050388E">
      <w:pPr>
        <w:numPr>
          <w:ilvl w:val="0"/>
          <w:numId w:val="22"/>
        </w:numPr>
        <w:spacing w:before="0" w:after="0"/>
        <w:rPr>
          <w:sz w:val="22"/>
          <w:szCs w:val="22"/>
        </w:rPr>
      </w:pPr>
      <w:r>
        <w:rPr>
          <w:sz w:val="22"/>
          <w:szCs w:val="22"/>
        </w:rPr>
        <w:t>At June 2021, the proportion of sales in the North Coast LGAs that were affordable to very low income households ranged fr</w:t>
      </w:r>
      <w:r w:rsidR="004F569F">
        <w:rPr>
          <w:sz w:val="22"/>
          <w:szCs w:val="22"/>
        </w:rPr>
        <w:t>om</w:t>
      </w:r>
      <w:r>
        <w:rPr>
          <w:sz w:val="22"/>
          <w:szCs w:val="22"/>
        </w:rPr>
        <w:t xml:space="preserve"> 0% in Ballina, Byron and Port Macquarie Hastings to 8.7% in Kyogle.  While Kyogle is the only LGA with a higher proportion of affordable purchase for very low income households than the Rest of NSW average of 7.5%, Kyogle </w:t>
      </w:r>
      <w:r w:rsidR="00EE4E88">
        <w:rPr>
          <w:sz w:val="22"/>
          <w:szCs w:val="22"/>
        </w:rPr>
        <w:t>had 27.8% affordable purchase in June 2020 and has experienced a significant drop in affordability.</w:t>
      </w:r>
    </w:p>
    <w:p w14:paraId="1BBAEDE6" w14:textId="77777777" w:rsidR="00EE4E88" w:rsidRDefault="00EE4E88" w:rsidP="0050388E">
      <w:pPr>
        <w:numPr>
          <w:ilvl w:val="0"/>
          <w:numId w:val="22"/>
        </w:numPr>
        <w:spacing w:before="0" w:after="0"/>
        <w:rPr>
          <w:sz w:val="22"/>
          <w:szCs w:val="22"/>
        </w:rPr>
      </w:pPr>
      <w:r>
        <w:rPr>
          <w:sz w:val="22"/>
          <w:szCs w:val="22"/>
        </w:rPr>
        <w:t>Nambucca has the next highest proportion at June 2021 with just 3.8%, then Richmond Valley with 2.9% and Bellingen with 2.3%.  Kempsey had just 1.8% affordable purchase.</w:t>
      </w:r>
    </w:p>
    <w:p w14:paraId="6D456299" w14:textId="7225FDB6" w:rsidR="0050388E" w:rsidRDefault="0050388E" w:rsidP="0050388E">
      <w:pPr>
        <w:numPr>
          <w:ilvl w:val="0"/>
          <w:numId w:val="22"/>
        </w:numPr>
        <w:spacing w:before="0" w:after="0"/>
        <w:rPr>
          <w:sz w:val="22"/>
          <w:szCs w:val="22"/>
        </w:rPr>
      </w:pPr>
      <w:r w:rsidRPr="00EE4E88">
        <w:rPr>
          <w:sz w:val="22"/>
          <w:szCs w:val="22"/>
        </w:rPr>
        <w:t>The graph below shows the purchase affordability for very low income households in the North Coast LGAs from 20</w:t>
      </w:r>
      <w:r w:rsidR="00B875A9">
        <w:rPr>
          <w:sz w:val="22"/>
          <w:szCs w:val="22"/>
        </w:rPr>
        <w:t>17</w:t>
      </w:r>
      <w:r w:rsidRPr="00EE4E88">
        <w:rPr>
          <w:sz w:val="22"/>
          <w:szCs w:val="22"/>
        </w:rPr>
        <w:t xml:space="preserve"> to 20</w:t>
      </w:r>
      <w:r w:rsidR="00EE4E88">
        <w:rPr>
          <w:sz w:val="22"/>
          <w:szCs w:val="22"/>
        </w:rPr>
        <w:t>21</w:t>
      </w:r>
      <w:r w:rsidRPr="00EE4E88">
        <w:rPr>
          <w:sz w:val="22"/>
          <w:szCs w:val="22"/>
        </w:rPr>
        <w:t>.</w:t>
      </w:r>
    </w:p>
    <w:p w14:paraId="19E483D1" w14:textId="77777777" w:rsidR="00393D61" w:rsidRDefault="00393D61" w:rsidP="00393D61">
      <w:pPr>
        <w:spacing w:before="0" w:after="0"/>
        <w:rPr>
          <w:sz w:val="22"/>
          <w:szCs w:val="22"/>
        </w:rPr>
      </w:pPr>
    </w:p>
    <w:p w14:paraId="6EA1A2B1" w14:textId="77777777" w:rsidR="00393D61" w:rsidRDefault="00393D61" w:rsidP="00393D61">
      <w:pPr>
        <w:spacing w:before="0" w:after="0"/>
        <w:rPr>
          <w:sz w:val="22"/>
          <w:szCs w:val="22"/>
        </w:rPr>
      </w:pPr>
    </w:p>
    <w:p w14:paraId="49EB623A" w14:textId="508DAE7A" w:rsidR="00285DEC" w:rsidRDefault="00C035E2" w:rsidP="0050388E">
      <w:r>
        <w:rPr>
          <w:noProof/>
        </w:rPr>
        <w:lastRenderedPageBreak/>
        <w:drawing>
          <wp:inline distT="0" distB="0" distL="0" distR="0" wp14:anchorId="030CE4AA" wp14:editId="18C2F31E">
            <wp:extent cx="5746115" cy="3067327"/>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4059" cy="3071567"/>
                    </a:xfrm>
                    <a:prstGeom prst="rect">
                      <a:avLst/>
                    </a:prstGeom>
                    <a:noFill/>
                  </pic:spPr>
                </pic:pic>
              </a:graphicData>
            </a:graphic>
          </wp:inline>
        </w:drawing>
      </w:r>
    </w:p>
    <w:p w14:paraId="662423B5" w14:textId="1AF99F0C" w:rsidR="00285DEC" w:rsidRDefault="00393D61" w:rsidP="00393D61">
      <w:pPr>
        <w:pStyle w:val="ListParagraph"/>
        <w:numPr>
          <w:ilvl w:val="0"/>
          <w:numId w:val="42"/>
        </w:numPr>
      </w:pPr>
      <w:r>
        <w:rPr>
          <w:sz w:val="22"/>
          <w:szCs w:val="22"/>
        </w:rPr>
        <w:t>The table below gives the proportion of affordable purchase for very low income households in North Coast LGAs from 20</w:t>
      </w:r>
      <w:r w:rsidR="00B875A9">
        <w:rPr>
          <w:sz w:val="22"/>
          <w:szCs w:val="22"/>
        </w:rPr>
        <w:t>17</w:t>
      </w:r>
      <w:r>
        <w:rPr>
          <w:sz w:val="22"/>
          <w:szCs w:val="22"/>
        </w:rPr>
        <w:t xml:space="preserve"> to 2021.</w:t>
      </w:r>
    </w:p>
    <w:p w14:paraId="137AD263" w14:textId="7FCB9A9B" w:rsidR="00393D61" w:rsidRDefault="00F833C9" w:rsidP="00F833C9">
      <w:pPr>
        <w:ind w:firstLine="360"/>
      </w:pPr>
      <w:r w:rsidRPr="00F833C9">
        <w:rPr>
          <w:noProof/>
        </w:rPr>
        <w:drawing>
          <wp:inline distT="0" distB="0" distL="0" distR="0" wp14:anchorId="6A99DE4C" wp14:editId="03917F41">
            <wp:extent cx="4638675" cy="2676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8675" cy="2676525"/>
                    </a:xfrm>
                    <a:prstGeom prst="rect">
                      <a:avLst/>
                    </a:prstGeom>
                    <a:noFill/>
                    <a:ln>
                      <a:noFill/>
                    </a:ln>
                  </pic:spPr>
                </pic:pic>
              </a:graphicData>
            </a:graphic>
          </wp:inline>
        </w:drawing>
      </w:r>
    </w:p>
    <w:p w14:paraId="494990F8" w14:textId="43824043" w:rsidR="00B875A9" w:rsidRDefault="00B875A9" w:rsidP="004E3D95">
      <w:pPr>
        <w:numPr>
          <w:ilvl w:val="0"/>
          <w:numId w:val="33"/>
        </w:numPr>
        <w:spacing w:before="0" w:after="0"/>
        <w:ind w:left="0"/>
        <w:rPr>
          <w:sz w:val="22"/>
          <w:szCs w:val="22"/>
        </w:rPr>
      </w:pPr>
      <w:r>
        <w:rPr>
          <w:sz w:val="22"/>
          <w:szCs w:val="22"/>
        </w:rPr>
        <w:t xml:space="preserve">Purchase affordability for low income households is a little more feasible for low income households in the North Coast, but still tight.  Across the Rest of NSW 23.8% of sales at the June quarter 2021 were affordable for purchase by low income households.  In the North Coast, the proportion ranged from 0% in Ballina and Byron to 39.1% in Kempsey. </w:t>
      </w:r>
    </w:p>
    <w:p w14:paraId="76E81F9B" w14:textId="40478F3F" w:rsidR="00B875A9" w:rsidRDefault="00B875A9" w:rsidP="004E3D95">
      <w:pPr>
        <w:numPr>
          <w:ilvl w:val="0"/>
          <w:numId w:val="33"/>
        </w:numPr>
        <w:spacing w:before="0" w:after="0"/>
        <w:ind w:left="0"/>
        <w:rPr>
          <w:sz w:val="22"/>
          <w:szCs w:val="22"/>
        </w:rPr>
      </w:pPr>
      <w:r>
        <w:rPr>
          <w:sz w:val="22"/>
          <w:szCs w:val="22"/>
        </w:rPr>
        <w:t xml:space="preserve">Ballina, Byron, </w:t>
      </w:r>
      <w:r w:rsidR="00152E47">
        <w:rPr>
          <w:sz w:val="22"/>
          <w:szCs w:val="22"/>
        </w:rPr>
        <w:t xml:space="preserve">Tweed, </w:t>
      </w:r>
      <w:r>
        <w:rPr>
          <w:sz w:val="22"/>
          <w:szCs w:val="22"/>
        </w:rPr>
        <w:t>Por</w:t>
      </w:r>
      <w:r w:rsidR="00152E47">
        <w:rPr>
          <w:sz w:val="22"/>
          <w:szCs w:val="22"/>
        </w:rPr>
        <w:t>t</w:t>
      </w:r>
      <w:r>
        <w:rPr>
          <w:sz w:val="22"/>
          <w:szCs w:val="22"/>
        </w:rPr>
        <w:t xml:space="preserve"> Macquarie-Hastings, Coffs Harbour, </w:t>
      </w:r>
      <w:r w:rsidR="00152E47">
        <w:rPr>
          <w:sz w:val="22"/>
          <w:szCs w:val="22"/>
        </w:rPr>
        <w:t>Bellingen, Nambucca and Lismore all had a lower proportion of affordable purchase for low income households than the Rest of NSW average at June 2021.</w:t>
      </w:r>
    </w:p>
    <w:p w14:paraId="144F2B99" w14:textId="3E0D2759" w:rsidR="00152E47" w:rsidRDefault="00152E47" w:rsidP="004E3D95">
      <w:pPr>
        <w:numPr>
          <w:ilvl w:val="0"/>
          <w:numId w:val="33"/>
        </w:numPr>
        <w:spacing w:before="0" w:after="0"/>
        <w:ind w:left="0"/>
        <w:rPr>
          <w:sz w:val="22"/>
          <w:szCs w:val="22"/>
        </w:rPr>
      </w:pPr>
      <w:r>
        <w:rPr>
          <w:sz w:val="22"/>
          <w:szCs w:val="22"/>
        </w:rPr>
        <w:t>Bellingen was the only LGA in the region to have a (slightly) higher proportion affordable purchase for low income households in 2021 than in 2017.</w:t>
      </w:r>
    </w:p>
    <w:p w14:paraId="76D04CBF" w14:textId="3D67919A" w:rsidR="00E24920" w:rsidRPr="00393D61" w:rsidRDefault="00E24920" w:rsidP="004E3D95">
      <w:pPr>
        <w:numPr>
          <w:ilvl w:val="0"/>
          <w:numId w:val="33"/>
        </w:numPr>
        <w:spacing w:before="0" w:after="0"/>
        <w:ind w:left="0"/>
        <w:rPr>
          <w:sz w:val="22"/>
          <w:szCs w:val="22"/>
        </w:rPr>
      </w:pPr>
      <w:r>
        <w:rPr>
          <w:sz w:val="22"/>
          <w:szCs w:val="22"/>
        </w:rPr>
        <w:lastRenderedPageBreak/>
        <w:t>The graph and table below show the change in the proportion of affordable purchase for low income households in the North Coast from 20</w:t>
      </w:r>
      <w:r w:rsidR="00B875A9">
        <w:rPr>
          <w:sz w:val="22"/>
          <w:szCs w:val="22"/>
        </w:rPr>
        <w:t>17</w:t>
      </w:r>
      <w:r>
        <w:rPr>
          <w:sz w:val="22"/>
          <w:szCs w:val="22"/>
        </w:rPr>
        <w:t xml:space="preserve"> to 2021.</w:t>
      </w:r>
    </w:p>
    <w:p w14:paraId="301D3632" w14:textId="6A13EC3A" w:rsidR="00393D61" w:rsidRDefault="00526773" w:rsidP="00E24920">
      <w:pPr>
        <w:rPr>
          <w:b/>
          <w:sz w:val="20"/>
          <w:szCs w:val="20"/>
        </w:rPr>
      </w:pPr>
      <w:r>
        <w:rPr>
          <w:b/>
          <w:noProof/>
          <w:sz w:val="20"/>
          <w:szCs w:val="20"/>
        </w:rPr>
        <w:drawing>
          <wp:inline distT="0" distB="0" distL="0" distR="0" wp14:anchorId="04F1121E" wp14:editId="6DFB9B5F">
            <wp:extent cx="5922010" cy="3127932"/>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1154" cy="3132762"/>
                    </a:xfrm>
                    <a:prstGeom prst="rect">
                      <a:avLst/>
                    </a:prstGeom>
                    <a:noFill/>
                  </pic:spPr>
                </pic:pic>
              </a:graphicData>
            </a:graphic>
          </wp:inline>
        </w:drawing>
      </w:r>
    </w:p>
    <w:p w14:paraId="6BB4EAE9" w14:textId="512D49CB" w:rsidR="00E24920" w:rsidRPr="00E24920" w:rsidRDefault="00526773" w:rsidP="00526773">
      <w:pPr>
        <w:ind w:firstLine="720"/>
        <w:rPr>
          <w:b/>
          <w:sz w:val="20"/>
          <w:szCs w:val="20"/>
        </w:rPr>
      </w:pPr>
      <w:r w:rsidRPr="00526773">
        <w:rPr>
          <w:noProof/>
        </w:rPr>
        <w:drawing>
          <wp:inline distT="0" distB="0" distL="0" distR="0" wp14:anchorId="31F3ACAF" wp14:editId="40C498F8">
            <wp:extent cx="4638675" cy="2676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8675" cy="2676525"/>
                    </a:xfrm>
                    <a:prstGeom prst="rect">
                      <a:avLst/>
                    </a:prstGeom>
                    <a:noFill/>
                    <a:ln>
                      <a:noFill/>
                    </a:ln>
                  </pic:spPr>
                </pic:pic>
              </a:graphicData>
            </a:graphic>
          </wp:inline>
        </w:drawing>
      </w:r>
    </w:p>
    <w:p w14:paraId="37A1335A" w14:textId="77777777" w:rsidR="00A103EF" w:rsidRDefault="00A103EF" w:rsidP="0050388E">
      <w:pPr>
        <w:rPr>
          <w:b/>
          <w:sz w:val="20"/>
          <w:szCs w:val="20"/>
        </w:rPr>
      </w:pPr>
    </w:p>
    <w:p w14:paraId="3E3BDDAF" w14:textId="77777777" w:rsidR="009F6758" w:rsidRPr="00E1068C" w:rsidRDefault="009F6758" w:rsidP="009F6758">
      <w:pPr>
        <w:jc w:val="both"/>
        <w:rPr>
          <w:b/>
          <w:color w:val="008000"/>
          <w:sz w:val="32"/>
        </w:rPr>
      </w:pPr>
      <w:r w:rsidRPr="00E1068C">
        <w:rPr>
          <w:b/>
          <w:color w:val="008000"/>
          <w:sz w:val="32"/>
        </w:rPr>
        <w:t xml:space="preserve">Purchase </w:t>
      </w:r>
      <w:r>
        <w:rPr>
          <w:b/>
          <w:color w:val="008000"/>
          <w:sz w:val="32"/>
        </w:rPr>
        <w:t>Stress</w:t>
      </w:r>
    </w:p>
    <w:p w14:paraId="19B4622F" w14:textId="77777777" w:rsidR="009F6758" w:rsidRPr="001D657E" w:rsidRDefault="009F6758" w:rsidP="009F6758">
      <w:pPr>
        <w:pStyle w:val="ListParagraph"/>
        <w:numPr>
          <w:ilvl w:val="0"/>
          <w:numId w:val="43"/>
        </w:numPr>
        <w:jc w:val="both"/>
        <w:rPr>
          <w:b/>
          <w:sz w:val="20"/>
          <w:szCs w:val="20"/>
        </w:rPr>
      </w:pPr>
      <w:r>
        <w:rPr>
          <w:sz w:val="22"/>
          <w:szCs w:val="22"/>
        </w:rPr>
        <w:t xml:space="preserve">In 2021 there were </w:t>
      </w:r>
      <w:r w:rsidR="002538EC">
        <w:rPr>
          <w:sz w:val="22"/>
          <w:szCs w:val="22"/>
        </w:rPr>
        <w:t>2,699</w:t>
      </w:r>
      <w:r>
        <w:rPr>
          <w:sz w:val="22"/>
          <w:szCs w:val="22"/>
        </w:rPr>
        <w:t xml:space="preserve"> very low income households and </w:t>
      </w:r>
      <w:r w:rsidR="002538EC">
        <w:rPr>
          <w:sz w:val="22"/>
          <w:szCs w:val="22"/>
        </w:rPr>
        <w:t>2,913</w:t>
      </w:r>
      <w:r>
        <w:rPr>
          <w:sz w:val="22"/>
          <w:szCs w:val="22"/>
        </w:rPr>
        <w:t xml:space="preserve"> low income households purchasing a home and in stress across the </w:t>
      </w:r>
      <w:r w:rsidR="002538EC">
        <w:rPr>
          <w:sz w:val="22"/>
          <w:szCs w:val="22"/>
        </w:rPr>
        <w:t>North Coast</w:t>
      </w:r>
      <w:r>
        <w:rPr>
          <w:sz w:val="22"/>
          <w:szCs w:val="22"/>
        </w:rPr>
        <w:t xml:space="preserve"> – that is, paying more than 30% of their income on their mortgage.  This represents 45.</w:t>
      </w:r>
      <w:r w:rsidR="002538EC">
        <w:rPr>
          <w:sz w:val="22"/>
          <w:szCs w:val="22"/>
        </w:rPr>
        <w:t>5</w:t>
      </w:r>
      <w:r>
        <w:rPr>
          <w:sz w:val="22"/>
          <w:szCs w:val="22"/>
        </w:rPr>
        <w:t>% of very low and low income purchasers in</w:t>
      </w:r>
      <w:r w:rsidR="002538EC">
        <w:rPr>
          <w:sz w:val="22"/>
          <w:szCs w:val="22"/>
        </w:rPr>
        <w:t xml:space="preserve"> the region </w:t>
      </w:r>
      <w:r>
        <w:rPr>
          <w:sz w:val="22"/>
          <w:szCs w:val="22"/>
        </w:rPr>
        <w:t>– a slightly higher proportion than the average for the Rest of NSW at 43.9%.</w:t>
      </w:r>
    </w:p>
    <w:p w14:paraId="38277639" w14:textId="77777777" w:rsidR="002538EC" w:rsidRPr="002538EC" w:rsidRDefault="002538EC" w:rsidP="009F6758">
      <w:pPr>
        <w:pStyle w:val="ListParagraph"/>
        <w:numPr>
          <w:ilvl w:val="0"/>
          <w:numId w:val="43"/>
        </w:numPr>
        <w:jc w:val="both"/>
        <w:rPr>
          <w:b/>
          <w:sz w:val="20"/>
          <w:szCs w:val="20"/>
        </w:rPr>
      </w:pPr>
      <w:r>
        <w:rPr>
          <w:sz w:val="22"/>
          <w:szCs w:val="22"/>
        </w:rPr>
        <w:t xml:space="preserve">Byron </w:t>
      </w:r>
      <w:r w:rsidR="009F6758">
        <w:rPr>
          <w:sz w:val="22"/>
          <w:szCs w:val="22"/>
        </w:rPr>
        <w:t>had the highest proportion with 5</w:t>
      </w:r>
      <w:r>
        <w:rPr>
          <w:sz w:val="22"/>
          <w:szCs w:val="22"/>
        </w:rPr>
        <w:t>5.1</w:t>
      </w:r>
      <w:r w:rsidR="009F6758">
        <w:rPr>
          <w:sz w:val="22"/>
          <w:szCs w:val="22"/>
        </w:rPr>
        <w:t xml:space="preserve">%, followed by </w:t>
      </w:r>
      <w:r>
        <w:rPr>
          <w:sz w:val="22"/>
          <w:szCs w:val="22"/>
        </w:rPr>
        <w:t xml:space="preserve">Tweed </w:t>
      </w:r>
      <w:r w:rsidR="009F6758">
        <w:rPr>
          <w:sz w:val="22"/>
          <w:szCs w:val="22"/>
        </w:rPr>
        <w:t>with 5</w:t>
      </w:r>
      <w:r>
        <w:rPr>
          <w:sz w:val="22"/>
          <w:szCs w:val="22"/>
        </w:rPr>
        <w:t>1.8</w:t>
      </w:r>
      <w:r w:rsidR="009F6758">
        <w:rPr>
          <w:sz w:val="22"/>
          <w:szCs w:val="22"/>
        </w:rPr>
        <w:t>%</w:t>
      </w:r>
      <w:r>
        <w:rPr>
          <w:sz w:val="22"/>
          <w:szCs w:val="22"/>
        </w:rPr>
        <w:t xml:space="preserve"> and Ballina with 50.4%.  </w:t>
      </w:r>
    </w:p>
    <w:p w14:paraId="5CEF37AE" w14:textId="77777777" w:rsidR="009F6758" w:rsidRPr="00F77895" w:rsidRDefault="002538EC" w:rsidP="009F6758">
      <w:pPr>
        <w:pStyle w:val="ListParagraph"/>
        <w:numPr>
          <w:ilvl w:val="0"/>
          <w:numId w:val="43"/>
        </w:numPr>
        <w:jc w:val="both"/>
        <w:rPr>
          <w:b/>
          <w:sz w:val="20"/>
          <w:szCs w:val="20"/>
        </w:rPr>
      </w:pPr>
      <w:r>
        <w:rPr>
          <w:sz w:val="22"/>
          <w:szCs w:val="22"/>
        </w:rPr>
        <w:lastRenderedPageBreak/>
        <w:t>Tweed had the highest number of very low and low income purchasers in stress with 2,213, followed by Port Macquarie Hastings with 1,643, Coffs Harbour with 1,571 and Clarence Valley with 1,476</w:t>
      </w:r>
      <w:r w:rsidR="009F6758">
        <w:rPr>
          <w:sz w:val="22"/>
          <w:szCs w:val="22"/>
        </w:rPr>
        <w:t>.</w:t>
      </w:r>
    </w:p>
    <w:p w14:paraId="5E632EA6" w14:textId="77777777" w:rsidR="009F6758" w:rsidRDefault="00731492" w:rsidP="0050388E">
      <w:pPr>
        <w:rPr>
          <w:b/>
          <w:sz w:val="20"/>
          <w:szCs w:val="20"/>
        </w:rPr>
      </w:pPr>
      <w:r w:rsidRPr="00731492">
        <w:rPr>
          <w:noProof/>
        </w:rPr>
        <w:drawing>
          <wp:inline distT="0" distB="0" distL="0" distR="0" wp14:anchorId="2B5C75B9" wp14:editId="151D0391">
            <wp:extent cx="6038850" cy="3258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6660" cy="3262761"/>
                    </a:xfrm>
                    <a:prstGeom prst="rect">
                      <a:avLst/>
                    </a:prstGeom>
                    <a:noFill/>
                    <a:ln>
                      <a:noFill/>
                    </a:ln>
                  </pic:spPr>
                </pic:pic>
              </a:graphicData>
            </a:graphic>
          </wp:inline>
        </w:drawing>
      </w:r>
    </w:p>
    <w:p w14:paraId="39D5FA7E" w14:textId="77777777" w:rsidR="002538EC" w:rsidRPr="001D657E" w:rsidRDefault="002538EC" w:rsidP="002538EC">
      <w:pPr>
        <w:pStyle w:val="ListParagraph"/>
        <w:numPr>
          <w:ilvl w:val="0"/>
          <w:numId w:val="44"/>
        </w:numPr>
        <w:jc w:val="both"/>
        <w:rPr>
          <w:sz w:val="22"/>
          <w:szCs w:val="22"/>
        </w:rPr>
      </w:pPr>
      <w:r>
        <w:rPr>
          <w:sz w:val="22"/>
          <w:szCs w:val="22"/>
        </w:rPr>
        <w:t>However the number of very low and low income purchasers in stress is significantly lower than the number of very low and low income renters in stress in the region, as the graph below demonstrates.</w:t>
      </w:r>
    </w:p>
    <w:p w14:paraId="60F77B2E" w14:textId="77777777" w:rsidR="00731492" w:rsidRPr="002538EC" w:rsidRDefault="00731492" w:rsidP="002538EC">
      <w:pPr>
        <w:pStyle w:val="ListParagraph"/>
        <w:ind w:left="360"/>
        <w:rPr>
          <w:b/>
          <w:sz w:val="20"/>
          <w:szCs w:val="20"/>
        </w:rPr>
      </w:pPr>
    </w:p>
    <w:p w14:paraId="113D7186" w14:textId="77777777" w:rsidR="00731492" w:rsidRDefault="00731492" w:rsidP="0050388E">
      <w:pPr>
        <w:rPr>
          <w:b/>
          <w:sz w:val="20"/>
          <w:szCs w:val="20"/>
        </w:rPr>
      </w:pPr>
      <w:r>
        <w:rPr>
          <w:b/>
          <w:noProof/>
          <w:sz w:val="20"/>
          <w:szCs w:val="20"/>
        </w:rPr>
        <w:drawing>
          <wp:inline distT="0" distB="0" distL="0" distR="0" wp14:anchorId="151E7E7C" wp14:editId="4DE72659">
            <wp:extent cx="5651500" cy="31273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1500" cy="3127375"/>
                    </a:xfrm>
                    <a:prstGeom prst="rect">
                      <a:avLst/>
                    </a:prstGeom>
                    <a:noFill/>
                  </pic:spPr>
                </pic:pic>
              </a:graphicData>
            </a:graphic>
          </wp:inline>
        </w:drawing>
      </w:r>
    </w:p>
    <w:p w14:paraId="7D38E509" w14:textId="77777777" w:rsidR="00731492" w:rsidRDefault="00731492" w:rsidP="0050388E">
      <w:pPr>
        <w:rPr>
          <w:b/>
          <w:sz w:val="20"/>
          <w:szCs w:val="20"/>
        </w:rPr>
      </w:pPr>
    </w:p>
    <w:p w14:paraId="0AB795CA" w14:textId="77777777" w:rsidR="00731492" w:rsidRDefault="00731492" w:rsidP="0050388E">
      <w:pPr>
        <w:rPr>
          <w:b/>
          <w:sz w:val="20"/>
          <w:szCs w:val="20"/>
        </w:rPr>
      </w:pPr>
    </w:p>
    <w:p w14:paraId="3FFA2240" w14:textId="77777777" w:rsidR="0050388E" w:rsidRPr="001C58F3" w:rsidRDefault="0050388E" w:rsidP="0050388E">
      <w:pPr>
        <w:rPr>
          <w:b/>
          <w:color w:val="008000"/>
          <w:sz w:val="32"/>
        </w:rPr>
      </w:pPr>
      <w:r w:rsidRPr="001C58F3">
        <w:rPr>
          <w:b/>
          <w:color w:val="008000"/>
          <w:sz w:val="32"/>
        </w:rPr>
        <w:t>A</w:t>
      </w:r>
      <w:r>
        <w:rPr>
          <w:b/>
          <w:color w:val="008000"/>
          <w:sz w:val="32"/>
        </w:rPr>
        <w:t>dditional Data</w:t>
      </w:r>
    </w:p>
    <w:p w14:paraId="4F4F27ED" w14:textId="77777777" w:rsidR="00976AB7" w:rsidRPr="00EC3534" w:rsidRDefault="00976AB7" w:rsidP="00976AB7">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2ABB7CF4" w14:textId="77777777" w:rsidR="00976AB7" w:rsidRDefault="0004198A" w:rsidP="00976AB7">
      <w:pPr>
        <w:jc w:val="both"/>
        <w:rPr>
          <w:sz w:val="22"/>
          <w:szCs w:val="22"/>
        </w:rPr>
      </w:pPr>
      <w:hyperlink r:id="rId35" w:history="1">
        <w:r w:rsidR="00976AB7" w:rsidRPr="004D0CC5">
          <w:rPr>
            <w:rStyle w:val="Hyperlink"/>
            <w:sz w:val="22"/>
            <w:szCs w:val="22"/>
          </w:rPr>
          <w:t>https://www.facs.nsw.gov.au/resources/statistics/rent-and-sales/dashboard</w:t>
        </w:r>
      </w:hyperlink>
    </w:p>
    <w:p w14:paraId="75B55C8D" w14:textId="77777777" w:rsidR="00976AB7" w:rsidRPr="00EC3534" w:rsidRDefault="00976AB7" w:rsidP="00976AB7">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49AC8B1A" w14:textId="77777777" w:rsidR="00976AB7" w:rsidRDefault="0004198A" w:rsidP="00976AB7">
      <w:pPr>
        <w:jc w:val="both"/>
        <w:rPr>
          <w:sz w:val="22"/>
          <w:szCs w:val="22"/>
        </w:rPr>
      </w:pPr>
      <w:hyperlink r:id="rId36" w:history="1">
        <w:r w:rsidR="00976AB7" w:rsidRPr="004D0CC5">
          <w:rPr>
            <w:rStyle w:val="Hyperlink"/>
            <w:sz w:val="22"/>
            <w:szCs w:val="22"/>
          </w:rPr>
          <w:t>https://www.facs.nsw.gov.au/resources/nsw-local-government-housing-kit/chapters/local-government-housing-kit-database</w:t>
        </w:r>
      </w:hyperlink>
    </w:p>
    <w:p w14:paraId="7B614446" w14:textId="77777777" w:rsidR="00976AB7" w:rsidRDefault="00976AB7" w:rsidP="00976AB7">
      <w:pPr>
        <w:jc w:val="both"/>
        <w:rPr>
          <w:sz w:val="22"/>
          <w:szCs w:val="22"/>
        </w:rPr>
      </w:pPr>
      <w:r w:rsidRPr="00EC3534">
        <w:rPr>
          <w:sz w:val="22"/>
          <w:szCs w:val="22"/>
        </w:rPr>
        <w:t>More information on vacancy rates is available from the Real Estate Institute of NSW website:</w:t>
      </w:r>
    </w:p>
    <w:p w14:paraId="5D853DD8" w14:textId="77777777" w:rsidR="00976AB7" w:rsidRDefault="0004198A" w:rsidP="00976AB7">
      <w:pPr>
        <w:jc w:val="both"/>
        <w:rPr>
          <w:sz w:val="22"/>
          <w:szCs w:val="22"/>
        </w:rPr>
      </w:pPr>
      <w:hyperlink r:id="rId37" w:history="1">
        <w:r w:rsidR="00976AB7" w:rsidRPr="004D0CC5">
          <w:rPr>
            <w:rStyle w:val="Hyperlink"/>
            <w:sz w:val="22"/>
            <w:szCs w:val="22"/>
          </w:rPr>
          <w:t>https://www.reinsw.com.au/Web/Web/Members/Property_data/Vacancy_Rates_Survey.aspx</w:t>
        </w:r>
      </w:hyperlink>
    </w:p>
    <w:p w14:paraId="5BA27097" w14:textId="77777777" w:rsidR="00976AB7" w:rsidRDefault="00976AB7" w:rsidP="00976AB7">
      <w:pPr>
        <w:rPr>
          <w:sz w:val="22"/>
          <w:szCs w:val="22"/>
        </w:rPr>
      </w:pPr>
      <w:r>
        <w:rPr>
          <w:sz w:val="22"/>
          <w:szCs w:val="22"/>
        </w:rPr>
        <w:t>The Rental Affordability Index is at</w:t>
      </w:r>
    </w:p>
    <w:p w14:paraId="01C64AFE" w14:textId="77777777" w:rsidR="00976AB7" w:rsidRDefault="0004198A" w:rsidP="00976AB7">
      <w:pPr>
        <w:rPr>
          <w:sz w:val="22"/>
          <w:szCs w:val="22"/>
        </w:rPr>
      </w:pPr>
      <w:hyperlink r:id="rId38" w:history="1">
        <w:r w:rsidR="00976AB7" w:rsidRPr="00581F7A">
          <w:rPr>
            <w:rStyle w:val="Hyperlink"/>
            <w:sz w:val="22"/>
            <w:szCs w:val="22"/>
          </w:rPr>
          <w:t>https://sgsep.com.au/projects/rental-affordability-index</w:t>
        </w:r>
      </w:hyperlink>
    </w:p>
    <w:p w14:paraId="10EA57AF" w14:textId="77777777" w:rsidR="0050388E" w:rsidRPr="00E56065" w:rsidRDefault="0050388E" w:rsidP="0050388E">
      <w:pPr>
        <w:rPr>
          <w:szCs w:val="22"/>
        </w:rPr>
      </w:pPr>
    </w:p>
    <w:p w14:paraId="09329D7C" w14:textId="77777777" w:rsidR="009D2867" w:rsidRPr="0050388E" w:rsidRDefault="009D2867" w:rsidP="0050388E"/>
    <w:sectPr w:rsidR="009D2867" w:rsidRPr="0050388E" w:rsidSect="00BB657B">
      <w:headerReference w:type="default" r:id="rId39"/>
      <w:footerReference w:type="default" r:id="rId40"/>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EB4E" w14:textId="77777777" w:rsidR="00127518" w:rsidRDefault="00127518">
      <w:r>
        <w:separator/>
      </w:r>
    </w:p>
  </w:endnote>
  <w:endnote w:type="continuationSeparator" w:id="0">
    <w:p w14:paraId="01D88606" w14:textId="77777777" w:rsidR="00127518" w:rsidRDefault="0012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20637"/>
      <w:docPartObj>
        <w:docPartGallery w:val="Page Numbers (Bottom of Page)"/>
        <w:docPartUnique/>
      </w:docPartObj>
    </w:sdtPr>
    <w:sdtEndPr>
      <w:rPr>
        <w:noProof/>
      </w:rPr>
    </w:sdtEndPr>
    <w:sdtContent>
      <w:p w14:paraId="6A8BD533" w14:textId="77777777" w:rsidR="00DF00C4" w:rsidRDefault="00DF00C4">
        <w:pPr>
          <w:pStyle w:val="Footer"/>
          <w:jc w:val="right"/>
        </w:pPr>
        <w:r>
          <w:fldChar w:fldCharType="begin"/>
        </w:r>
        <w:r>
          <w:instrText xml:space="preserve"> PAGE   \* MERGEFORMAT </w:instrText>
        </w:r>
        <w:r>
          <w:fldChar w:fldCharType="separate"/>
        </w:r>
        <w:r w:rsidR="00195D73">
          <w:rPr>
            <w:noProof/>
          </w:rPr>
          <w:t>6</w:t>
        </w:r>
        <w:r>
          <w:rPr>
            <w:noProof/>
          </w:rPr>
          <w:fldChar w:fldCharType="end"/>
        </w:r>
      </w:p>
    </w:sdtContent>
  </w:sdt>
  <w:p w14:paraId="117EFF84" w14:textId="77777777" w:rsidR="00127518" w:rsidRPr="00EC070F" w:rsidRDefault="00127518">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133A" w14:textId="77777777" w:rsidR="00127518" w:rsidRDefault="00127518">
      <w:r>
        <w:separator/>
      </w:r>
    </w:p>
  </w:footnote>
  <w:footnote w:type="continuationSeparator" w:id="0">
    <w:p w14:paraId="3846D4B3" w14:textId="77777777" w:rsidR="00127518" w:rsidRDefault="0012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652E" w14:textId="77777777" w:rsidR="00127518" w:rsidRDefault="00127518" w:rsidP="00555F5C">
    <w:pPr>
      <w:pStyle w:val="Factsheet"/>
      <w:ind w:left="7200"/>
      <w:jc w:val="left"/>
    </w:pPr>
    <w:r>
      <w:rPr>
        <w:noProof/>
      </w:rPr>
      <w:drawing>
        <wp:anchor distT="0" distB="0" distL="114300" distR="114300" simplePos="0" relativeHeight="251659264" behindDoc="1" locked="0" layoutInCell="1" allowOverlap="1" wp14:anchorId="55856F6C" wp14:editId="7B1065BC">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41D668F5" w14:textId="77777777" w:rsidR="00127518" w:rsidRPr="001F5B89" w:rsidRDefault="00127518"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8AF"/>
    <w:multiLevelType w:val="hybridMultilevel"/>
    <w:tmpl w:val="5844AE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977E1B"/>
    <w:multiLevelType w:val="hybridMultilevel"/>
    <w:tmpl w:val="4FFA8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5062A"/>
    <w:multiLevelType w:val="hybridMultilevel"/>
    <w:tmpl w:val="56380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41AFA"/>
    <w:multiLevelType w:val="hybridMultilevel"/>
    <w:tmpl w:val="7098DC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0F60AE"/>
    <w:multiLevelType w:val="hybridMultilevel"/>
    <w:tmpl w:val="C7520F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F4A34"/>
    <w:multiLevelType w:val="hybridMultilevel"/>
    <w:tmpl w:val="D3A041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551C0"/>
    <w:multiLevelType w:val="hybridMultilevel"/>
    <w:tmpl w:val="A34051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70D84"/>
    <w:multiLevelType w:val="hybridMultilevel"/>
    <w:tmpl w:val="312255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6B15C0"/>
    <w:multiLevelType w:val="multilevel"/>
    <w:tmpl w:val="7F48644A"/>
    <w:numStyleLink w:val="Bulletpoint"/>
  </w:abstractNum>
  <w:abstractNum w:abstractNumId="14"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1778DC"/>
    <w:multiLevelType w:val="hybridMultilevel"/>
    <w:tmpl w:val="DF6E21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B445CA"/>
    <w:multiLevelType w:val="hybridMultilevel"/>
    <w:tmpl w:val="28ACAD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D62B91"/>
    <w:multiLevelType w:val="hybridMultilevel"/>
    <w:tmpl w:val="1A906C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B25C55"/>
    <w:multiLevelType w:val="hybridMultilevel"/>
    <w:tmpl w:val="4A3440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F6868"/>
    <w:multiLevelType w:val="hybridMultilevel"/>
    <w:tmpl w:val="E87ECA8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94209C"/>
    <w:multiLevelType w:val="hybridMultilevel"/>
    <w:tmpl w:val="5A667B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91270E"/>
    <w:multiLevelType w:val="multilevel"/>
    <w:tmpl w:val="7F48644A"/>
    <w:numStyleLink w:val="Bulletpoint"/>
  </w:abstractNum>
  <w:abstractNum w:abstractNumId="30"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114829"/>
    <w:multiLevelType w:val="multilevel"/>
    <w:tmpl w:val="7F48644A"/>
    <w:numStyleLink w:val="Bulletpoint"/>
  </w:abstractNum>
  <w:abstractNum w:abstractNumId="32"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D554CF"/>
    <w:multiLevelType w:val="hybridMultilevel"/>
    <w:tmpl w:val="A8E619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128B6"/>
    <w:multiLevelType w:val="hybridMultilevel"/>
    <w:tmpl w:val="340A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BF2184"/>
    <w:multiLevelType w:val="hybridMultilevel"/>
    <w:tmpl w:val="113EC8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E02FA0"/>
    <w:multiLevelType w:val="hybridMultilevel"/>
    <w:tmpl w:val="8F8A02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E86F3D"/>
    <w:multiLevelType w:val="hybridMultilevel"/>
    <w:tmpl w:val="55DAE7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819639">
    <w:abstractNumId w:val="3"/>
  </w:num>
  <w:num w:numId="2" w16cid:durableId="78988584">
    <w:abstractNumId w:val="34"/>
  </w:num>
  <w:num w:numId="3" w16cid:durableId="2102287828">
    <w:abstractNumId w:val="31"/>
  </w:num>
  <w:num w:numId="4" w16cid:durableId="80026251">
    <w:abstractNumId w:val="29"/>
  </w:num>
  <w:num w:numId="5" w16cid:durableId="1564680362">
    <w:abstractNumId w:val="13"/>
  </w:num>
  <w:num w:numId="6" w16cid:durableId="971835669">
    <w:abstractNumId w:val="41"/>
  </w:num>
  <w:num w:numId="7" w16cid:durableId="51580188">
    <w:abstractNumId w:val="9"/>
  </w:num>
  <w:num w:numId="8" w16cid:durableId="2123255862">
    <w:abstractNumId w:val="43"/>
  </w:num>
  <w:num w:numId="9" w16cid:durableId="955411296">
    <w:abstractNumId w:val="42"/>
  </w:num>
  <w:num w:numId="10" w16cid:durableId="382296006">
    <w:abstractNumId w:val="32"/>
  </w:num>
  <w:num w:numId="11" w16cid:durableId="1368874572">
    <w:abstractNumId w:val="22"/>
  </w:num>
  <w:num w:numId="12" w16cid:durableId="291446374">
    <w:abstractNumId w:val="27"/>
  </w:num>
  <w:num w:numId="13" w16cid:durableId="1694726758">
    <w:abstractNumId w:val="36"/>
  </w:num>
  <w:num w:numId="14" w16cid:durableId="391660895">
    <w:abstractNumId w:val="18"/>
  </w:num>
  <w:num w:numId="15" w16cid:durableId="1412854634">
    <w:abstractNumId w:val="26"/>
  </w:num>
  <w:num w:numId="16" w16cid:durableId="1842548458">
    <w:abstractNumId w:val="15"/>
  </w:num>
  <w:num w:numId="17" w16cid:durableId="32658892">
    <w:abstractNumId w:val="16"/>
  </w:num>
  <w:num w:numId="18" w16cid:durableId="1643002594">
    <w:abstractNumId w:val="12"/>
  </w:num>
  <w:num w:numId="19" w16cid:durableId="529994378">
    <w:abstractNumId w:val="24"/>
  </w:num>
  <w:num w:numId="20" w16cid:durableId="684014641">
    <w:abstractNumId w:val="25"/>
  </w:num>
  <w:num w:numId="21" w16cid:durableId="59793389">
    <w:abstractNumId w:val="45"/>
  </w:num>
  <w:num w:numId="22" w16cid:durableId="1776831060">
    <w:abstractNumId w:val="6"/>
  </w:num>
  <w:num w:numId="23" w16cid:durableId="1605116447">
    <w:abstractNumId w:val="11"/>
  </w:num>
  <w:num w:numId="24" w16cid:durableId="1126122475">
    <w:abstractNumId w:val="10"/>
  </w:num>
  <w:num w:numId="25" w16cid:durableId="1292059460">
    <w:abstractNumId w:val="7"/>
  </w:num>
  <w:num w:numId="26" w16cid:durableId="1277249603">
    <w:abstractNumId w:val="40"/>
  </w:num>
  <w:num w:numId="27" w16cid:durableId="10957610">
    <w:abstractNumId w:val="8"/>
  </w:num>
  <w:num w:numId="28" w16cid:durableId="1893224666">
    <w:abstractNumId w:val="33"/>
  </w:num>
  <w:num w:numId="29" w16cid:durableId="854266493">
    <w:abstractNumId w:val="37"/>
  </w:num>
  <w:num w:numId="30" w16cid:durableId="1338078926">
    <w:abstractNumId w:val="28"/>
  </w:num>
  <w:num w:numId="31" w16cid:durableId="426199037">
    <w:abstractNumId w:val="14"/>
  </w:num>
  <w:num w:numId="32" w16cid:durableId="678241996">
    <w:abstractNumId w:val="21"/>
  </w:num>
  <w:num w:numId="33" w16cid:durableId="2090689558">
    <w:abstractNumId w:val="23"/>
  </w:num>
  <w:num w:numId="34" w16cid:durableId="918557431">
    <w:abstractNumId w:val="0"/>
  </w:num>
  <w:num w:numId="35" w16cid:durableId="873620133">
    <w:abstractNumId w:val="19"/>
  </w:num>
  <w:num w:numId="36" w16cid:durableId="1909222416">
    <w:abstractNumId w:val="5"/>
  </w:num>
  <w:num w:numId="37" w16cid:durableId="874191771">
    <w:abstractNumId w:val="35"/>
  </w:num>
  <w:num w:numId="38" w16cid:durableId="1250384120">
    <w:abstractNumId w:val="17"/>
  </w:num>
  <w:num w:numId="39" w16cid:durableId="1907957466">
    <w:abstractNumId w:val="20"/>
  </w:num>
  <w:num w:numId="40" w16cid:durableId="1613173696">
    <w:abstractNumId w:val="4"/>
  </w:num>
  <w:num w:numId="41" w16cid:durableId="1884904750">
    <w:abstractNumId w:val="1"/>
  </w:num>
  <w:num w:numId="42" w16cid:durableId="173109800">
    <w:abstractNumId w:val="39"/>
  </w:num>
  <w:num w:numId="43" w16cid:durableId="1624772065">
    <w:abstractNumId w:val="30"/>
  </w:num>
  <w:num w:numId="44" w16cid:durableId="587036432">
    <w:abstractNumId w:val="44"/>
  </w:num>
  <w:num w:numId="45" w16cid:durableId="47731887">
    <w:abstractNumId w:val="2"/>
  </w:num>
  <w:num w:numId="46" w16cid:durableId="404571443">
    <w:abstractNumId w:val="46"/>
  </w:num>
  <w:num w:numId="47" w16cid:durableId="295724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3151"/>
    <w:rsid w:val="0000537C"/>
    <w:rsid w:val="000073E7"/>
    <w:rsid w:val="00011380"/>
    <w:rsid w:val="00011BCE"/>
    <w:rsid w:val="000128F8"/>
    <w:rsid w:val="000148F5"/>
    <w:rsid w:val="00014DFA"/>
    <w:rsid w:val="0001509B"/>
    <w:rsid w:val="0002002B"/>
    <w:rsid w:val="0002385F"/>
    <w:rsid w:val="000238BE"/>
    <w:rsid w:val="00025B62"/>
    <w:rsid w:val="0002652D"/>
    <w:rsid w:val="0002705A"/>
    <w:rsid w:val="000301A0"/>
    <w:rsid w:val="00030840"/>
    <w:rsid w:val="000329C1"/>
    <w:rsid w:val="000331DB"/>
    <w:rsid w:val="00033A9F"/>
    <w:rsid w:val="0003643E"/>
    <w:rsid w:val="000406DD"/>
    <w:rsid w:val="00041022"/>
    <w:rsid w:val="000411E5"/>
    <w:rsid w:val="0004198A"/>
    <w:rsid w:val="00042E77"/>
    <w:rsid w:val="0004492A"/>
    <w:rsid w:val="00045AF7"/>
    <w:rsid w:val="00047744"/>
    <w:rsid w:val="00050277"/>
    <w:rsid w:val="000545D9"/>
    <w:rsid w:val="00054D7D"/>
    <w:rsid w:val="000610BC"/>
    <w:rsid w:val="00062436"/>
    <w:rsid w:val="00064BA4"/>
    <w:rsid w:val="00067E94"/>
    <w:rsid w:val="00071F45"/>
    <w:rsid w:val="0007285B"/>
    <w:rsid w:val="0007502D"/>
    <w:rsid w:val="0007553F"/>
    <w:rsid w:val="00075B28"/>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1862"/>
    <w:rsid w:val="000B2634"/>
    <w:rsid w:val="000B2A74"/>
    <w:rsid w:val="000B3A4A"/>
    <w:rsid w:val="000B3FA4"/>
    <w:rsid w:val="000B56D8"/>
    <w:rsid w:val="000B61E9"/>
    <w:rsid w:val="000B75EB"/>
    <w:rsid w:val="000C0268"/>
    <w:rsid w:val="000C1000"/>
    <w:rsid w:val="000C3B4F"/>
    <w:rsid w:val="000C662F"/>
    <w:rsid w:val="000C6B1E"/>
    <w:rsid w:val="000D2002"/>
    <w:rsid w:val="000D2599"/>
    <w:rsid w:val="000D7FA3"/>
    <w:rsid w:val="000E078B"/>
    <w:rsid w:val="000E182F"/>
    <w:rsid w:val="000E1B4E"/>
    <w:rsid w:val="000E1E21"/>
    <w:rsid w:val="000E5B59"/>
    <w:rsid w:val="000E7008"/>
    <w:rsid w:val="000F053E"/>
    <w:rsid w:val="000F249F"/>
    <w:rsid w:val="000F3370"/>
    <w:rsid w:val="000F461F"/>
    <w:rsid w:val="000F6CE6"/>
    <w:rsid w:val="000F6F9D"/>
    <w:rsid w:val="00101958"/>
    <w:rsid w:val="00104FC4"/>
    <w:rsid w:val="00113B05"/>
    <w:rsid w:val="00116BED"/>
    <w:rsid w:val="00117158"/>
    <w:rsid w:val="001174B1"/>
    <w:rsid w:val="00117592"/>
    <w:rsid w:val="00120052"/>
    <w:rsid w:val="00122CAE"/>
    <w:rsid w:val="0012441C"/>
    <w:rsid w:val="00126148"/>
    <w:rsid w:val="00127518"/>
    <w:rsid w:val="0013027E"/>
    <w:rsid w:val="00131EA4"/>
    <w:rsid w:val="00132F07"/>
    <w:rsid w:val="001344D3"/>
    <w:rsid w:val="001344DC"/>
    <w:rsid w:val="00135905"/>
    <w:rsid w:val="00137892"/>
    <w:rsid w:val="00137AF0"/>
    <w:rsid w:val="00137F70"/>
    <w:rsid w:val="00140885"/>
    <w:rsid w:val="0014190D"/>
    <w:rsid w:val="00142DBC"/>
    <w:rsid w:val="001441BA"/>
    <w:rsid w:val="00146DD9"/>
    <w:rsid w:val="001501E7"/>
    <w:rsid w:val="00151375"/>
    <w:rsid w:val="001513E0"/>
    <w:rsid w:val="001517A4"/>
    <w:rsid w:val="00152CFA"/>
    <w:rsid w:val="00152E47"/>
    <w:rsid w:val="001537A4"/>
    <w:rsid w:val="00156081"/>
    <w:rsid w:val="00162916"/>
    <w:rsid w:val="00163B75"/>
    <w:rsid w:val="00165BCC"/>
    <w:rsid w:val="0016630F"/>
    <w:rsid w:val="001663F4"/>
    <w:rsid w:val="001669DC"/>
    <w:rsid w:val="001704AA"/>
    <w:rsid w:val="0017182A"/>
    <w:rsid w:val="00171F63"/>
    <w:rsid w:val="001742EA"/>
    <w:rsid w:val="00175CFF"/>
    <w:rsid w:val="00175FA4"/>
    <w:rsid w:val="0017634D"/>
    <w:rsid w:val="001769EC"/>
    <w:rsid w:val="00182CDB"/>
    <w:rsid w:val="00184737"/>
    <w:rsid w:val="0019025D"/>
    <w:rsid w:val="001909CA"/>
    <w:rsid w:val="00195D73"/>
    <w:rsid w:val="00196D4D"/>
    <w:rsid w:val="00197B58"/>
    <w:rsid w:val="001A0A02"/>
    <w:rsid w:val="001B00B6"/>
    <w:rsid w:val="001B17A1"/>
    <w:rsid w:val="001B27D6"/>
    <w:rsid w:val="001B2A55"/>
    <w:rsid w:val="001B3A46"/>
    <w:rsid w:val="001B4A6B"/>
    <w:rsid w:val="001B4D62"/>
    <w:rsid w:val="001B79B1"/>
    <w:rsid w:val="001C15E4"/>
    <w:rsid w:val="001C236A"/>
    <w:rsid w:val="001C37D4"/>
    <w:rsid w:val="001C6396"/>
    <w:rsid w:val="001C71A1"/>
    <w:rsid w:val="001D144E"/>
    <w:rsid w:val="001D3CC0"/>
    <w:rsid w:val="001D77A4"/>
    <w:rsid w:val="001E12EE"/>
    <w:rsid w:val="001E556C"/>
    <w:rsid w:val="001E783A"/>
    <w:rsid w:val="001F2B5D"/>
    <w:rsid w:val="001F3B60"/>
    <w:rsid w:val="001F46C1"/>
    <w:rsid w:val="001F5B89"/>
    <w:rsid w:val="001F5E9F"/>
    <w:rsid w:val="001F777F"/>
    <w:rsid w:val="002010FF"/>
    <w:rsid w:val="00201EC7"/>
    <w:rsid w:val="00203AFA"/>
    <w:rsid w:val="00203F4C"/>
    <w:rsid w:val="00206468"/>
    <w:rsid w:val="0020691D"/>
    <w:rsid w:val="00207B9D"/>
    <w:rsid w:val="0021405C"/>
    <w:rsid w:val="002140CA"/>
    <w:rsid w:val="00215557"/>
    <w:rsid w:val="00217B75"/>
    <w:rsid w:val="00220972"/>
    <w:rsid w:val="00223136"/>
    <w:rsid w:val="00226F44"/>
    <w:rsid w:val="002307C5"/>
    <w:rsid w:val="0023354E"/>
    <w:rsid w:val="00234D53"/>
    <w:rsid w:val="00235151"/>
    <w:rsid w:val="002372C4"/>
    <w:rsid w:val="00237B30"/>
    <w:rsid w:val="002407D0"/>
    <w:rsid w:val="002421FA"/>
    <w:rsid w:val="002422C8"/>
    <w:rsid w:val="00245811"/>
    <w:rsid w:val="002538EC"/>
    <w:rsid w:val="002552D9"/>
    <w:rsid w:val="00255D52"/>
    <w:rsid w:val="0026232D"/>
    <w:rsid w:val="00262CF8"/>
    <w:rsid w:val="0026359F"/>
    <w:rsid w:val="00263903"/>
    <w:rsid w:val="00264536"/>
    <w:rsid w:val="00266AEE"/>
    <w:rsid w:val="00266ECB"/>
    <w:rsid w:val="00266F94"/>
    <w:rsid w:val="00270797"/>
    <w:rsid w:val="002713D5"/>
    <w:rsid w:val="002718EB"/>
    <w:rsid w:val="00271FF2"/>
    <w:rsid w:val="00273BD2"/>
    <w:rsid w:val="002759E0"/>
    <w:rsid w:val="002805F3"/>
    <w:rsid w:val="0028254B"/>
    <w:rsid w:val="00283423"/>
    <w:rsid w:val="0028595F"/>
    <w:rsid w:val="00285DA3"/>
    <w:rsid w:val="00285DEC"/>
    <w:rsid w:val="00285F8B"/>
    <w:rsid w:val="00294596"/>
    <w:rsid w:val="002976C9"/>
    <w:rsid w:val="002A2478"/>
    <w:rsid w:val="002A3643"/>
    <w:rsid w:val="002A63B7"/>
    <w:rsid w:val="002A7FC0"/>
    <w:rsid w:val="002B0833"/>
    <w:rsid w:val="002B0DC7"/>
    <w:rsid w:val="002B2D5B"/>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195E"/>
    <w:rsid w:val="002E1989"/>
    <w:rsid w:val="002E4809"/>
    <w:rsid w:val="002E5E5E"/>
    <w:rsid w:val="002E7126"/>
    <w:rsid w:val="002F11C1"/>
    <w:rsid w:val="002F194D"/>
    <w:rsid w:val="002F1BF6"/>
    <w:rsid w:val="002F26AF"/>
    <w:rsid w:val="002F3AFB"/>
    <w:rsid w:val="002F4E30"/>
    <w:rsid w:val="002F5488"/>
    <w:rsid w:val="002F61A0"/>
    <w:rsid w:val="002F7EDC"/>
    <w:rsid w:val="00300844"/>
    <w:rsid w:val="00301DB7"/>
    <w:rsid w:val="003033E8"/>
    <w:rsid w:val="00305829"/>
    <w:rsid w:val="00307D53"/>
    <w:rsid w:val="0031124B"/>
    <w:rsid w:val="003117CD"/>
    <w:rsid w:val="00315796"/>
    <w:rsid w:val="003173AB"/>
    <w:rsid w:val="00320D58"/>
    <w:rsid w:val="0032760C"/>
    <w:rsid w:val="0033003D"/>
    <w:rsid w:val="003306A3"/>
    <w:rsid w:val="00330901"/>
    <w:rsid w:val="00333D00"/>
    <w:rsid w:val="00334EDE"/>
    <w:rsid w:val="0033547A"/>
    <w:rsid w:val="0034140D"/>
    <w:rsid w:val="003433C7"/>
    <w:rsid w:val="00343FC0"/>
    <w:rsid w:val="003451FB"/>
    <w:rsid w:val="00350557"/>
    <w:rsid w:val="003511BA"/>
    <w:rsid w:val="003514DE"/>
    <w:rsid w:val="003519E4"/>
    <w:rsid w:val="00351E80"/>
    <w:rsid w:val="0035247A"/>
    <w:rsid w:val="00352D3F"/>
    <w:rsid w:val="003560A6"/>
    <w:rsid w:val="00360C09"/>
    <w:rsid w:val="00360EA0"/>
    <w:rsid w:val="003612DA"/>
    <w:rsid w:val="00371240"/>
    <w:rsid w:val="00373822"/>
    <w:rsid w:val="00374198"/>
    <w:rsid w:val="00382DD2"/>
    <w:rsid w:val="00383F13"/>
    <w:rsid w:val="003864CF"/>
    <w:rsid w:val="003869F8"/>
    <w:rsid w:val="00393363"/>
    <w:rsid w:val="00393D61"/>
    <w:rsid w:val="00394F0A"/>
    <w:rsid w:val="00395DA8"/>
    <w:rsid w:val="003A0D8E"/>
    <w:rsid w:val="003A2183"/>
    <w:rsid w:val="003A2DAE"/>
    <w:rsid w:val="003A5B11"/>
    <w:rsid w:val="003A60EC"/>
    <w:rsid w:val="003A66E0"/>
    <w:rsid w:val="003A74D7"/>
    <w:rsid w:val="003B109B"/>
    <w:rsid w:val="003B1954"/>
    <w:rsid w:val="003B2029"/>
    <w:rsid w:val="003B312B"/>
    <w:rsid w:val="003B4FA9"/>
    <w:rsid w:val="003B5958"/>
    <w:rsid w:val="003B76E6"/>
    <w:rsid w:val="003B7C6B"/>
    <w:rsid w:val="003C497F"/>
    <w:rsid w:val="003D3F7D"/>
    <w:rsid w:val="003D6256"/>
    <w:rsid w:val="003D74B2"/>
    <w:rsid w:val="003E027E"/>
    <w:rsid w:val="003E040E"/>
    <w:rsid w:val="003E21AA"/>
    <w:rsid w:val="003E2B10"/>
    <w:rsid w:val="003E3494"/>
    <w:rsid w:val="003F0F71"/>
    <w:rsid w:val="003F12EE"/>
    <w:rsid w:val="003F1D65"/>
    <w:rsid w:val="003F4AE1"/>
    <w:rsid w:val="003F5D47"/>
    <w:rsid w:val="003F7832"/>
    <w:rsid w:val="00403E95"/>
    <w:rsid w:val="00403ECB"/>
    <w:rsid w:val="00404713"/>
    <w:rsid w:val="00413496"/>
    <w:rsid w:val="00414BFB"/>
    <w:rsid w:val="00415351"/>
    <w:rsid w:val="004157A1"/>
    <w:rsid w:val="0041637F"/>
    <w:rsid w:val="00417530"/>
    <w:rsid w:val="004203F1"/>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34CA"/>
    <w:rsid w:val="004450E5"/>
    <w:rsid w:val="0044771E"/>
    <w:rsid w:val="00456D1B"/>
    <w:rsid w:val="0045764F"/>
    <w:rsid w:val="004578D4"/>
    <w:rsid w:val="00460F29"/>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3E4D"/>
    <w:rsid w:val="00484C95"/>
    <w:rsid w:val="00484FED"/>
    <w:rsid w:val="00486ADF"/>
    <w:rsid w:val="00487C45"/>
    <w:rsid w:val="004905D6"/>
    <w:rsid w:val="004909FF"/>
    <w:rsid w:val="00492B05"/>
    <w:rsid w:val="004955BF"/>
    <w:rsid w:val="00497695"/>
    <w:rsid w:val="00497A81"/>
    <w:rsid w:val="004A39D0"/>
    <w:rsid w:val="004A58FB"/>
    <w:rsid w:val="004B4725"/>
    <w:rsid w:val="004B47D6"/>
    <w:rsid w:val="004B73E4"/>
    <w:rsid w:val="004C4253"/>
    <w:rsid w:val="004C46B8"/>
    <w:rsid w:val="004C4868"/>
    <w:rsid w:val="004C74B6"/>
    <w:rsid w:val="004C7CEB"/>
    <w:rsid w:val="004D006D"/>
    <w:rsid w:val="004D3681"/>
    <w:rsid w:val="004D5B8A"/>
    <w:rsid w:val="004D5D40"/>
    <w:rsid w:val="004D7EA7"/>
    <w:rsid w:val="004E5AF2"/>
    <w:rsid w:val="004E63F8"/>
    <w:rsid w:val="004E6BD8"/>
    <w:rsid w:val="004F5225"/>
    <w:rsid w:val="004F5699"/>
    <w:rsid w:val="004F569F"/>
    <w:rsid w:val="004F68F4"/>
    <w:rsid w:val="00500814"/>
    <w:rsid w:val="00501A40"/>
    <w:rsid w:val="0050388E"/>
    <w:rsid w:val="00504018"/>
    <w:rsid w:val="0050731C"/>
    <w:rsid w:val="00512431"/>
    <w:rsid w:val="005138C1"/>
    <w:rsid w:val="00513B31"/>
    <w:rsid w:val="00514203"/>
    <w:rsid w:val="00515388"/>
    <w:rsid w:val="005176D3"/>
    <w:rsid w:val="00517D85"/>
    <w:rsid w:val="00526773"/>
    <w:rsid w:val="00532867"/>
    <w:rsid w:val="005362AF"/>
    <w:rsid w:val="00537C3A"/>
    <w:rsid w:val="00540306"/>
    <w:rsid w:val="00540BEA"/>
    <w:rsid w:val="00542D54"/>
    <w:rsid w:val="00547325"/>
    <w:rsid w:val="005501FF"/>
    <w:rsid w:val="00552DEE"/>
    <w:rsid w:val="00555F5C"/>
    <w:rsid w:val="00557D72"/>
    <w:rsid w:val="0056136E"/>
    <w:rsid w:val="00564A6D"/>
    <w:rsid w:val="00566044"/>
    <w:rsid w:val="005671BA"/>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95FEF"/>
    <w:rsid w:val="005A14CC"/>
    <w:rsid w:val="005A2F57"/>
    <w:rsid w:val="005A3552"/>
    <w:rsid w:val="005A4E9D"/>
    <w:rsid w:val="005A576C"/>
    <w:rsid w:val="005A5F47"/>
    <w:rsid w:val="005A74E6"/>
    <w:rsid w:val="005B03F0"/>
    <w:rsid w:val="005B05EB"/>
    <w:rsid w:val="005B3E6F"/>
    <w:rsid w:val="005B72A1"/>
    <w:rsid w:val="005C03C7"/>
    <w:rsid w:val="005C0C76"/>
    <w:rsid w:val="005C1A32"/>
    <w:rsid w:val="005C3829"/>
    <w:rsid w:val="005D0369"/>
    <w:rsid w:val="005D2418"/>
    <w:rsid w:val="005D3C1E"/>
    <w:rsid w:val="005D5243"/>
    <w:rsid w:val="005E0EC4"/>
    <w:rsid w:val="005E304F"/>
    <w:rsid w:val="005E399C"/>
    <w:rsid w:val="005E4202"/>
    <w:rsid w:val="005E5D5C"/>
    <w:rsid w:val="005F265C"/>
    <w:rsid w:val="005F47CF"/>
    <w:rsid w:val="005F68CF"/>
    <w:rsid w:val="005F7C64"/>
    <w:rsid w:val="00602501"/>
    <w:rsid w:val="00602E79"/>
    <w:rsid w:val="006047A5"/>
    <w:rsid w:val="00606514"/>
    <w:rsid w:val="00606598"/>
    <w:rsid w:val="00606934"/>
    <w:rsid w:val="00616FBF"/>
    <w:rsid w:val="0062186B"/>
    <w:rsid w:val="0062259C"/>
    <w:rsid w:val="00624F0D"/>
    <w:rsid w:val="00625A95"/>
    <w:rsid w:val="00625C93"/>
    <w:rsid w:val="00626515"/>
    <w:rsid w:val="006268D0"/>
    <w:rsid w:val="0063059C"/>
    <w:rsid w:val="00635154"/>
    <w:rsid w:val="006407A6"/>
    <w:rsid w:val="00640E74"/>
    <w:rsid w:val="00641B08"/>
    <w:rsid w:val="006454C0"/>
    <w:rsid w:val="00651675"/>
    <w:rsid w:val="006560D6"/>
    <w:rsid w:val="00656D1A"/>
    <w:rsid w:val="00657E24"/>
    <w:rsid w:val="006604A0"/>
    <w:rsid w:val="00662ABD"/>
    <w:rsid w:val="006632AB"/>
    <w:rsid w:val="0066560E"/>
    <w:rsid w:val="00667F27"/>
    <w:rsid w:val="006721ED"/>
    <w:rsid w:val="00673F44"/>
    <w:rsid w:val="0067451E"/>
    <w:rsid w:val="00675CB8"/>
    <w:rsid w:val="00676748"/>
    <w:rsid w:val="00676D5D"/>
    <w:rsid w:val="00681CB1"/>
    <w:rsid w:val="0068374C"/>
    <w:rsid w:val="00684100"/>
    <w:rsid w:val="00686ACF"/>
    <w:rsid w:val="00690429"/>
    <w:rsid w:val="00693256"/>
    <w:rsid w:val="0069529F"/>
    <w:rsid w:val="006971DF"/>
    <w:rsid w:val="006A0046"/>
    <w:rsid w:val="006A3CB0"/>
    <w:rsid w:val="006A3F87"/>
    <w:rsid w:val="006A5D0F"/>
    <w:rsid w:val="006A5D5F"/>
    <w:rsid w:val="006A6DB1"/>
    <w:rsid w:val="006B04CD"/>
    <w:rsid w:val="006B33CD"/>
    <w:rsid w:val="006B3B25"/>
    <w:rsid w:val="006B4028"/>
    <w:rsid w:val="006B480C"/>
    <w:rsid w:val="006B493D"/>
    <w:rsid w:val="006B5340"/>
    <w:rsid w:val="006B5948"/>
    <w:rsid w:val="006B6A58"/>
    <w:rsid w:val="006C0C3B"/>
    <w:rsid w:val="006C4501"/>
    <w:rsid w:val="006C47B1"/>
    <w:rsid w:val="006D1E36"/>
    <w:rsid w:val="006D2E28"/>
    <w:rsid w:val="006D6D40"/>
    <w:rsid w:val="006E27A6"/>
    <w:rsid w:val="006E3BEB"/>
    <w:rsid w:val="006E79A0"/>
    <w:rsid w:val="006F0E4E"/>
    <w:rsid w:val="006F1DD2"/>
    <w:rsid w:val="006F3E7B"/>
    <w:rsid w:val="006F4102"/>
    <w:rsid w:val="006F55AF"/>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26CBD"/>
    <w:rsid w:val="00727260"/>
    <w:rsid w:val="00730305"/>
    <w:rsid w:val="00730C7D"/>
    <w:rsid w:val="00731492"/>
    <w:rsid w:val="00733363"/>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59EE"/>
    <w:rsid w:val="00775DAA"/>
    <w:rsid w:val="007775C2"/>
    <w:rsid w:val="00781CDD"/>
    <w:rsid w:val="0078400F"/>
    <w:rsid w:val="007870F3"/>
    <w:rsid w:val="007904E8"/>
    <w:rsid w:val="007937DA"/>
    <w:rsid w:val="00794002"/>
    <w:rsid w:val="00794B8E"/>
    <w:rsid w:val="007A0631"/>
    <w:rsid w:val="007A2415"/>
    <w:rsid w:val="007A4ACF"/>
    <w:rsid w:val="007A5679"/>
    <w:rsid w:val="007A7B79"/>
    <w:rsid w:val="007B10A1"/>
    <w:rsid w:val="007B6418"/>
    <w:rsid w:val="007B796A"/>
    <w:rsid w:val="007C2068"/>
    <w:rsid w:val="007C314E"/>
    <w:rsid w:val="007C336E"/>
    <w:rsid w:val="007C5444"/>
    <w:rsid w:val="007D0D89"/>
    <w:rsid w:val="007D5C84"/>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6563"/>
    <w:rsid w:val="008001A5"/>
    <w:rsid w:val="00802DD7"/>
    <w:rsid w:val="00807728"/>
    <w:rsid w:val="00810C20"/>
    <w:rsid w:val="008161B8"/>
    <w:rsid w:val="0082299C"/>
    <w:rsid w:val="00822A85"/>
    <w:rsid w:val="00823721"/>
    <w:rsid w:val="00830009"/>
    <w:rsid w:val="00830C15"/>
    <w:rsid w:val="00832FAA"/>
    <w:rsid w:val="00833BC8"/>
    <w:rsid w:val="00834910"/>
    <w:rsid w:val="008355C2"/>
    <w:rsid w:val="008359C8"/>
    <w:rsid w:val="00835EEE"/>
    <w:rsid w:val="008428F4"/>
    <w:rsid w:val="0084320C"/>
    <w:rsid w:val="00843501"/>
    <w:rsid w:val="00844E69"/>
    <w:rsid w:val="0085229E"/>
    <w:rsid w:val="00852784"/>
    <w:rsid w:val="0085449F"/>
    <w:rsid w:val="00855C78"/>
    <w:rsid w:val="0086371E"/>
    <w:rsid w:val="008640CC"/>
    <w:rsid w:val="00864595"/>
    <w:rsid w:val="008645E3"/>
    <w:rsid w:val="00864828"/>
    <w:rsid w:val="00870743"/>
    <w:rsid w:val="008709B8"/>
    <w:rsid w:val="00872919"/>
    <w:rsid w:val="0087502F"/>
    <w:rsid w:val="00877A34"/>
    <w:rsid w:val="00877A71"/>
    <w:rsid w:val="0088091F"/>
    <w:rsid w:val="008841B2"/>
    <w:rsid w:val="00884540"/>
    <w:rsid w:val="00885A40"/>
    <w:rsid w:val="008873F6"/>
    <w:rsid w:val="008940F6"/>
    <w:rsid w:val="00895308"/>
    <w:rsid w:val="00896A3D"/>
    <w:rsid w:val="008A53DD"/>
    <w:rsid w:val="008A64F4"/>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D5C71"/>
    <w:rsid w:val="008E03EC"/>
    <w:rsid w:val="008E2FCC"/>
    <w:rsid w:val="008E3093"/>
    <w:rsid w:val="008E37B7"/>
    <w:rsid w:val="008E6C1E"/>
    <w:rsid w:val="008E7B78"/>
    <w:rsid w:val="008F2FB1"/>
    <w:rsid w:val="008F49CF"/>
    <w:rsid w:val="008F757B"/>
    <w:rsid w:val="009001A0"/>
    <w:rsid w:val="00900828"/>
    <w:rsid w:val="00900D31"/>
    <w:rsid w:val="0090108E"/>
    <w:rsid w:val="00903812"/>
    <w:rsid w:val="00904A57"/>
    <w:rsid w:val="00906663"/>
    <w:rsid w:val="0091352A"/>
    <w:rsid w:val="00914AA2"/>
    <w:rsid w:val="00915392"/>
    <w:rsid w:val="00916AE4"/>
    <w:rsid w:val="00917E2A"/>
    <w:rsid w:val="00925E78"/>
    <w:rsid w:val="0092680B"/>
    <w:rsid w:val="00931A41"/>
    <w:rsid w:val="009320E3"/>
    <w:rsid w:val="00933915"/>
    <w:rsid w:val="009419F0"/>
    <w:rsid w:val="00944CB0"/>
    <w:rsid w:val="0094542E"/>
    <w:rsid w:val="00945C29"/>
    <w:rsid w:val="009476AF"/>
    <w:rsid w:val="0095060E"/>
    <w:rsid w:val="009518D2"/>
    <w:rsid w:val="00953BFA"/>
    <w:rsid w:val="00953E8A"/>
    <w:rsid w:val="00963921"/>
    <w:rsid w:val="00964034"/>
    <w:rsid w:val="00966EF1"/>
    <w:rsid w:val="009674B8"/>
    <w:rsid w:val="00970410"/>
    <w:rsid w:val="00970D43"/>
    <w:rsid w:val="00971CE0"/>
    <w:rsid w:val="00976AB7"/>
    <w:rsid w:val="009805BD"/>
    <w:rsid w:val="0098118D"/>
    <w:rsid w:val="00981E50"/>
    <w:rsid w:val="009827BA"/>
    <w:rsid w:val="0098461E"/>
    <w:rsid w:val="00985076"/>
    <w:rsid w:val="0098586D"/>
    <w:rsid w:val="00987C51"/>
    <w:rsid w:val="00993332"/>
    <w:rsid w:val="00993F2F"/>
    <w:rsid w:val="0099637D"/>
    <w:rsid w:val="00997723"/>
    <w:rsid w:val="009A2FC6"/>
    <w:rsid w:val="009A3228"/>
    <w:rsid w:val="009A577D"/>
    <w:rsid w:val="009A5F8F"/>
    <w:rsid w:val="009A6CF1"/>
    <w:rsid w:val="009A7C06"/>
    <w:rsid w:val="009B03A5"/>
    <w:rsid w:val="009B275D"/>
    <w:rsid w:val="009B3925"/>
    <w:rsid w:val="009B6768"/>
    <w:rsid w:val="009B799E"/>
    <w:rsid w:val="009C09F9"/>
    <w:rsid w:val="009C39F9"/>
    <w:rsid w:val="009C4138"/>
    <w:rsid w:val="009D0DE8"/>
    <w:rsid w:val="009D1EF2"/>
    <w:rsid w:val="009D2867"/>
    <w:rsid w:val="009D2F67"/>
    <w:rsid w:val="009D3B98"/>
    <w:rsid w:val="009D4F3C"/>
    <w:rsid w:val="009D4F40"/>
    <w:rsid w:val="009E3C87"/>
    <w:rsid w:val="009E46E2"/>
    <w:rsid w:val="009E4B0D"/>
    <w:rsid w:val="009E4DB0"/>
    <w:rsid w:val="009E7D17"/>
    <w:rsid w:val="009F05C3"/>
    <w:rsid w:val="009F0CFA"/>
    <w:rsid w:val="009F3242"/>
    <w:rsid w:val="009F3EA5"/>
    <w:rsid w:val="009F4F73"/>
    <w:rsid w:val="009F5A7B"/>
    <w:rsid w:val="009F6758"/>
    <w:rsid w:val="00A03B45"/>
    <w:rsid w:val="00A06DC4"/>
    <w:rsid w:val="00A06F4C"/>
    <w:rsid w:val="00A103EF"/>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5246"/>
    <w:rsid w:val="00A46D24"/>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49A6"/>
    <w:rsid w:val="00A8639D"/>
    <w:rsid w:val="00A86628"/>
    <w:rsid w:val="00A87502"/>
    <w:rsid w:val="00A91C45"/>
    <w:rsid w:val="00A9434D"/>
    <w:rsid w:val="00A9447F"/>
    <w:rsid w:val="00A96FAD"/>
    <w:rsid w:val="00A972A4"/>
    <w:rsid w:val="00A97E8E"/>
    <w:rsid w:val="00AA0677"/>
    <w:rsid w:val="00AA1F7F"/>
    <w:rsid w:val="00AA3945"/>
    <w:rsid w:val="00AB25AB"/>
    <w:rsid w:val="00AB2F33"/>
    <w:rsid w:val="00AB4BED"/>
    <w:rsid w:val="00AB6AC5"/>
    <w:rsid w:val="00AC0157"/>
    <w:rsid w:val="00AC1134"/>
    <w:rsid w:val="00AC2363"/>
    <w:rsid w:val="00AC61EC"/>
    <w:rsid w:val="00AC72F0"/>
    <w:rsid w:val="00AC7892"/>
    <w:rsid w:val="00AC791A"/>
    <w:rsid w:val="00AC7CED"/>
    <w:rsid w:val="00AD198A"/>
    <w:rsid w:val="00AD392C"/>
    <w:rsid w:val="00AD431B"/>
    <w:rsid w:val="00AD7126"/>
    <w:rsid w:val="00AE05C4"/>
    <w:rsid w:val="00AE59F0"/>
    <w:rsid w:val="00AE6C6D"/>
    <w:rsid w:val="00AF0285"/>
    <w:rsid w:val="00B000DB"/>
    <w:rsid w:val="00B06988"/>
    <w:rsid w:val="00B1087F"/>
    <w:rsid w:val="00B11633"/>
    <w:rsid w:val="00B136C8"/>
    <w:rsid w:val="00B17366"/>
    <w:rsid w:val="00B20EB9"/>
    <w:rsid w:val="00B21A38"/>
    <w:rsid w:val="00B2208A"/>
    <w:rsid w:val="00B25D04"/>
    <w:rsid w:val="00B344DC"/>
    <w:rsid w:val="00B359F1"/>
    <w:rsid w:val="00B41260"/>
    <w:rsid w:val="00B41A1F"/>
    <w:rsid w:val="00B4316D"/>
    <w:rsid w:val="00B436F2"/>
    <w:rsid w:val="00B442B4"/>
    <w:rsid w:val="00B47BB1"/>
    <w:rsid w:val="00B5290C"/>
    <w:rsid w:val="00B530A0"/>
    <w:rsid w:val="00B579B2"/>
    <w:rsid w:val="00B65137"/>
    <w:rsid w:val="00B65329"/>
    <w:rsid w:val="00B65904"/>
    <w:rsid w:val="00B66307"/>
    <w:rsid w:val="00B6725F"/>
    <w:rsid w:val="00B70335"/>
    <w:rsid w:val="00B72875"/>
    <w:rsid w:val="00B745E9"/>
    <w:rsid w:val="00B77ED0"/>
    <w:rsid w:val="00B81F48"/>
    <w:rsid w:val="00B830DD"/>
    <w:rsid w:val="00B8325F"/>
    <w:rsid w:val="00B83551"/>
    <w:rsid w:val="00B875A9"/>
    <w:rsid w:val="00B87826"/>
    <w:rsid w:val="00B9065D"/>
    <w:rsid w:val="00B917CF"/>
    <w:rsid w:val="00B9232D"/>
    <w:rsid w:val="00B923F1"/>
    <w:rsid w:val="00B93AD1"/>
    <w:rsid w:val="00B93FBE"/>
    <w:rsid w:val="00B94763"/>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2124"/>
    <w:rsid w:val="00BC237F"/>
    <w:rsid w:val="00BC29FA"/>
    <w:rsid w:val="00BC2DA6"/>
    <w:rsid w:val="00BC589A"/>
    <w:rsid w:val="00BD0868"/>
    <w:rsid w:val="00BD0D25"/>
    <w:rsid w:val="00BD710E"/>
    <w:rsid w:val="00BD75AF"/>
    <w:rsid w:val="00BE1EC4"/>
    <w:rsid w:val="00BE3E96"/>
    <w:rsid w:val="00BE6932"/>
    <w:rsid w:val="00BF73F0"/>
    <w:rsid w:val="00BF7961"/>
    <w:rsid w:val="00C035E2"/>
    <w:rsid w:val="00C03748"/>
    <w:rsid w:val="00C04104"/>
    <w:rsid w:val="00C0777E"/>
    <w:rsid w:val="00C10460"/>
    <w:rsid w:val="00C10AAB"/>
    <w:rsid w:val="00C10F89"/>
    <w:rsid w:val="00C11A9A"/>
    <w:rsid w:val="00C11D3B"/>
    <w:rsid w:val="00C151A1"/>
    <w:rsid w:val="00C1543B"/>
    <w:rsid w:val="00C20CC5"/>
    <w:rsid w:val="00C212C5"/>
    <w:rsid w:val="00C2134C"/>
    <w:rsid w:val="00C23778"/>
    <w:rsid w:val="00C23E09"/>
    <w:rsid w:val="00C33295"/>
    <w:rsid w:val="00C33DD7"/>
    <w:rsid w:val="00C36285"/>
    <w:rsid w:val="00C36D69"/>
    <w:rsid w:val="00C406FB"/>
    <w:rsid w:val="00C4100B"/>
    <w:rsid w:val="00C410A5"/>
    <w:rsid w:val="00C431A4"/>
    <w:rsid w:val="00C45EA3"/>
    <w:rsid w:val="00C46238"/>
    <w:rsid w:val="00C5036A"/>
    <w:rsid w:val="00C5065A"/>
    <w:rsid w:val="00C509C4"/>
    <w:rsid w:val="00C56180"/>
    <w:rsid w:val="00C61DAC"/>
    <w:rsid w:val="00C628C9"/>
    <w:rsid w:val="00C6472A"/>
    <w:rsid w:val="00C64EEA"/>
    <w:rsid w:val="00C73AAF"/>
    <w:rsid w:val="00C76E7C"/>
    <w:rsid w:val="00C77749"/>
    <w:rsid w:val="00C80626"/>
    <w:rsid w:val="00C81613"/>
    <w:rsid w:val="00C83EA4"/>
    <w:rsid w:val="00C83F9B"/>
    <w:rsid w:val="00C84B7F"/>
    <w:rsid w:val="00C8520A"/>
    <w:rsid w:val="00C9098F"/>
    <w:rsid w:val="00C92DB0"/>
    <w:rsid w:val="00C93EAA"/>
    <w:rsid w:val="00C943C1"/>
    <w:rsid w:val="00C94A4D"/>
    <w:rsid w:val="00C94DCD"/>
    <w:rsid w:val="00C95BD4"/>
    <w:rsid w:val="00C9763D"/>
    <w:rsid w:val="00CA147F"/>
    <w:rsid w:val="00CA2E41"/>
    <w:rsid w:val="00CA4627"/>
    <w:rsid w:val="00CA4B81"/>
    <w:rsid w:val="00CB1303"/>
    <w:rsid w:val="00CB3F1D"/>
    <w:rsid w:val="00CB6A03"/>
    <w:rsid w:val="00CB74C6"/>
    <w:rsid w:val="00CC2345"/>
    <w:rsid w:val="00CC4171"/>
    <w:rsid w:val="00CC47D6"/>
    <w:rsid w:val="00CC52A0"/>
    <w:rsid w:val="00CC5ABA"/>
    <w:rsid w:val="00CC63CB"/>
    <w:rsid w:val="00CD0663"/>
    <w:rsid w:val="00CD1B13"/>
    <w:rsid w:val="00CD216F"/>
    <w:rsid w:val="00CD2467"/>
    <w:rsid w:val="00CD4467"/>
    <w:rsid w:val="00CD4DFB"/>
    <w:rsid w:val="00CD4F1D"/>
    <w:rsid w:val="00CD5FE2"/>
    <w:rsid w:val="00CE0A3C"/>
    <w:rsid w:val="00CE0A64"/>
    <w:rsid w:val="00CE1400"/>
    <w:rsid w:val="00CE1AAF"/>
    <w:rsid w:val="00CE2BFA"/>
    <w:rsid w:val="00CF2658"/>
    <w:rsid w:val="00CF60B5"/>
    <w:rsid w:val="00CF72F4"/>
    <w:rsid w:val="00D006AD"/>
    <w:rsid w:val="00D02A8C"/>
    <w:rsid w:val="00D02F38"/>
    <w:rsid w:val="00D03827"/>
    <w:rsid w:val="00D05DE8"/>
    <w:rsid w:val="00D12B43"/>
    <w:rsid w:val="00D15F46"/>
    <w:rsid w:val="00D16824"/>
    <w:rsid w:val="00D2450C"/>
    <w:rsid w:val="00D252CB"/>
    <w:rsid w:val="00D31827"/>
    <w:rsid w:val="00D33FB6"/>
    <w:rsid w:val="00D3500F"/>
    <w:rsid w:val="00D35BD2"/>
    <w:rsid w:val="00D366EB"/>
    <w:rsid w:val="00D371B3"/>
    <w:rsid w:val="00D4653F"/>
    <w:rsid w:val="00D50F88"/>
    <w:rsid w:val="00D52AB6"/>
    <w:rsid w:val="00D5391C"/>
    <w:rsid w:val="00D55136"/>
    <w:rsid w:val="00D55F3B"/>
    <w:rsid w:val="00D56536"/>
    <w:rsid w:val="00D57FDC"/>
    <w:rsid w:val="00D60132"/>
    <w:rsid w:val="00D603D1"/>
    <w:rsid w:val="00D611B5"/>
    <w:rsid w:val="00D62274"/>
    <w:rsid w:val="00D64940"/>
    <w:rsid w:val="00D6646A"/>
    <w:rsid w:val="00D66893"/>
    <w:rsid w:val="00D7166D"/>
    <w:rsid w:val="00D71C35"/>
    <w:rsid w:val="00D75E88"/>
    <w:rsid w:val="00D77D17"/>
    <w:rsid w:val="00D80D3B"/>
    <w:rsid w:val="00D82BCB"/>
    <w:rsid w:val="00D82D97"/>
    <w:rsid w:val="00D8339E"/>
    <w:rsid w:val="00D83545"/>
    <w:rsid w:val="00D837C9"/>
    <w:rsid w:val="00D855DF"/>
    <w:rsid w:val="00D867FD"/>
    <w:rsid w:val="00D95027"/>
    <w:rsid w:val="00D956E1"/>
    <w:rsid w:val="00D9625C"/>
    <w:rsid w:val="00D96CEC"/>
    <w:rsid w:val="00DA151F"/>
    <w:rsid w:val="00DA1AF1"/>
    <w:rsid w:val="00DA2C9F"/>
    <w:rsid w:val="00DA30F6"/>
    <w:rsid w:val="00DA3373"/>
    <w:rsid w:val="00DA400C"/>
    <w:rsid w:val="00DA5358"/>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505"/>
    <w:rsid w:val="00DD6ED6"/>
    <w:rsid w:val="00DE0007"/>
    <w:rsid w:val="00DE26C6"/>
    <w:rsid w:val="00DE341F"/>
    <w:rsid w:val="00DE3D7E"/>
    <w:rsid w:val="00DE4B44"/>
    <w:rsid w:val="00DE6323"/>
    <w:rsid w:val="00DF00C4"/>
    <w:rsid w:val="00DF01A2"/>
    <w:rsid w:val="00DF248C"/>
    <w:rsid w:val="00DF2CCC"/>
    <w:rsid w:val="00DF3FD7"/>
    <w:rsid w:val="00E01B02"/>
    <w:rsid w:val="00E01B9A"/>
    <w:rsid w:val="00E03633"/>
    <w:rsid w:val="00E104B7"/>
    <w:rsid w:val="00E1127A"/>
    <w:rsid w:val="00E1287E"/>
    <w:rsid w:val="00E12D9B"/>
    <w:rsid w:val="00E229C3"/>
    <w:rsid w:val="00E24920"/>
    <w:rsid w:val="00E261A3"/>
    <w:rsid w:val="00E27E25"/>
    <w:rsid w:val="00E304DD"/>
    <w:rsid w:val="00E31F06"/>
    <w:rsid w:val="00E34944"/>
    <w:rsid w:val="00E363DC"/>
    <w:rsid w:val="00E37BA9"/>
    <w:rsid w:val="00E37EF1"/>
    <w:rsid w:val="00E4156C"/>
    <w:rsid w:val="00E43545"/>
    <w:rsid w:val="00E43BA3"/>
    <w:rsid w:val="00E43EF7"/>
    <w:rsid w:val="00E448E2"/>
    <w:rsid w:val="00E44A18"/>
    <w:rsid w:val="00E474E8"/>
    <w:rsid w:val="00E521F7"/>
    <w:rsid w:val="00E536CE"/>
    <w:rsid w:val="00E55FC6"/>
    <w:rsid w:val="00E56A64"/>
    <w:rsid w:val="00E61144"/>
    <w:rsid w:val="00E6151E"/>
    <w:rsid w:val="00E62860"/>
    <w:rsid w:val="00E62DD7"/>
    <w:rsid w:val="00E63ECB"/>
    <w:rsid w:val="00E70D5B"/>
    <w:rsid w:val="00E712F4"/>
    <w:rsid w:val="00E71BA6"/>
    <w:rsid w:val="00E71BEA"/>
    <w:rsid w:val="00E7275C"/>
    <w:rsid w:val="00E7327D"/>
    <w:rsid w:val="00E762FE"/>
    <w:rsid w:val="00E77E73"/>
    <w:rsid w:val="00E827C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A7C2A"/>
    <w:rsid w:val="00EB02D9"/>
    <w:rsid w:val="00EB18D9"/>
    <w:rsid w:val="00EB2758"/>
    <w:rsid w:val="00EB7D43"/>
    <w:rsid w:val="00EC070F"/>
    <w:rsid w:val="00EC1F46"/>
    <w:rsid w:val="00EC227A"/>
    <w:rsid w:val="00EC2C66"/>
    <w:rsid w:val="00EC3933"/>
    <w:rsid w:val="00EC65A3"/>
    <w:rsid w:val="00ED01AE"/>
    <w:rsid w:val="00ED2C5C"/>
    <w:rsid w:val="00ED34A3"/>
    <w:rsid w:val="00ED5A96"/>
    <w:rsid w:val="00ED7C80"/>
    <w:rsid w:val="00EE1193"/>
    <w:rsid w:val="00EE1C34"/>
    <w:rsid w:val="00EE1D22"/>
    <w:rsid w:val="00EE4E88"/>
    <w:rsid w:val="00EF08C5"/>
    <w:rsid w:val="00EF0906"/>
    <w:rsid w:val="00EF5176"/>
    <w:rsid w:val="00EF76C7"/>
    <w:rsid w:val="00F006D1"/>
    <w:rsid w:val="00F019C8"/>
    <w:rsid w:val="00F02A74"/>
    <w:rsid w:val="00F02E93"/>
    <w:rsid w:val="00F034CC"/>
    <w:rsid w:val="00F0515B"/>
    <w:rsid w:val="00F06641"/>
    <w:rsid w:val="00F06667"/>
    <w:rsid w:val="00F076E0"/>
    <w:rsid w:val="00F07CF8"/>
    <w:rsid w:val="00F109FC"/>
    <w:rsid w:val="00F10C91"/>
    <w:rsid w:val="00F1448F"/>
    <w:rsid w:val="00F17569"/>
    <w:rsid w:val="00F21282"/>
    <w:rsid w:val="00F213E9"/>
    <w:rsid w:val="00F23924"/>
    <w:rsid w:val="00F23B64"/>
    <w:rsid w:val="00F23DEA"/>
    <w:rsid w:val="00F310F7"/>
    <w:rsid w:val="00F330B0"/>
    <w:rsid w:val="00F3344A"/>
    <w:rsid w:val="00F33775"/>
    <w:rsid w:val="00F337A5"/>
    <w:rsid w:val="00F338B6"/>
    <w:rsid w:val="00F346D4"/>
    <w:rsid w:val="00F34B84"/>
    <w:rsid w:val="00F36AE4"/>
    <w:rsid w:val="00F40BC4"/>
    <w:rsid w:val="00F40E01"/>
    <w:rsid w:val="00F4248A"/>
    <w:rsid w:val="00F434C5"/>
    <w:rsid w:val="00F474EC"/>
    <w:rsid w:val="00F51E2F"/>
    <w:rsid w:val="00F5392C"/>
    <w:rsid w:val="00F53C3C"/>
    <w:rsid w:val="00F62FF1"/>
    <w:rsid w:val="00F631D8"/>
    <w:rsid w:val="00F64CE9"/>
    <w:rsid w:val="00F65A51"/>
    <w:rsid w:val="00F70FBD"/>
    <w:rsid w:val="00F74091"/>
    <w:rsid w:val="00F76CBF"/>
    <w:rsid w:val="00F8108F"/>
    <w:rsid w:val="00F81B18"/>
    <w:rsid w:val="00F833C9"/>
    <w:rsid w:val="00F84569"/>
    <w:rsid w:val="00F84A7C"/>
    <w:rsid w:val="00F864D5"/>
    <w:rsid w:val="00F932DA"/>
    <w:rsid w:val="00F977F5"/>
    <w:rsid w:val="00FA1C5D"/>
    <w:rsid w:val="00FA32B8"/>
    <w:rsid w:val="00FA56D9"/>
    <w:rsid w:val="00FA655C"/>
    <w:rsid w:val="00FB6E8F"/>
    <w:rsid w:val="00FB7D4A"/>
    <w:rsid w:val="00FC3B6E"/>
    <w:rsid w:val="00FC609F"/>
    <w:rsid w:val="00FC7800"/>
    <w:rsid w:val="00FC79B0"/>
    <w:rsid w:val="00FD1CDF"/>
    <w:rsid w:val="00FD26DB"/>
    <w:rsid w:val="00FD6A1C"/>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6EE0FB3"/>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character" w:customStyle="1" w:styleId="FooterChar">
    <w:name w:val="Footer Char"/>
    <w:basedOn w:val="DefaultParagraphFont"/>
    <w:link w:val="Footer"/>
    <w:uiPriority w:val="99"/>
    <w:rsid w:val="00DF00C4"/>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412557099">
      <w:bodyDiv w:val="1"/>
      <w:marLeft w:val="0"/>
      <w:marRight w:val="0"/>
      <w:marTop w:val="0"/>
      <w:marBottom w:val="0"/>
      <w:divBdr>
        <w:top w:val="none" w:sz="0" w:space="0" w:color="auto"/>
        <w:left w:val="none" w:sz="0" w:space="0" w:color="auto"/>
        <w:bottom w:val="none" w:sz="0" w:space="0" w:color="auto"/>
        <w:right w:val="none" w:sz="0" w:space="0" w:color="auto"/>
      </w:divBdr>
    </w:div>
    <w:div w:id="14614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header" Target="header1.xml"/><Relationship Id="rId21" Type="http://schemas.openxmlformats.org/officeDocument/2006/relationships/chart" Target="charts/chart1.xml"/><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s://www.reinsw.com.au/Web/Web/Members/Property_data/Vacancy_Rates_Survey.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hyperlink" Target="https://www.facs.nsw.gov.au/resources/nsw-local-government-housing-kit/chapters/local-government-housing-kit-database"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hyperlink" Target="https://www.facs.nsw.gov.au/resources/statistics/rent-and-sales/dashboard"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North%20Coast\2022%20North%20Coast%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change in total CRA recipients before</a:t>
            </a:r>
            <a:r>
              <a:rPr lang="en-US" b="1" baseline="0"/>
              <a:t> and after Covid - </a:t>
            </a:r>
            <a:r>
              <a:rPr lang="en-US" b="1"/>
              <a:t>North Coast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'Rental Stress'!$Q$53</c:f>
              <c:strCache>
                <c:ptCount val="1"/>
                <c:pt idx="0">
                  <c:v>North Coast</c:v>
                </c:pt>
              </c:strCache>
            </c:strRef>
          </c:tx>
          <c:spPr>
            <a:solidFill>
              <a:srgbClr val="99CCFF"/>
            </a:solidFill>
            <a:ln>
              <a:noFill/>
            </a:ln>
            <a:effectLst/>
          </c:spPr>
          <c:invertIfNegative val="0"/>
          <c:cat>
            <c:strRef>
              <c:f>'Rental Stress'!$R$52:$T$52</c:f>
              <c:strCache>
                <c:ptCount val="3"/>
                <c:pt idx="0">
                  <c:v>Change in total CRA recipients 2016 to 2020</c:v>
                </c:pt>
                <c:pt idx="1">
                  <c:v>Change in total CRA recipients 2016 to 2021</c:v>
                </c:pt>
                <c:pt idx="2">
                  <c:v>Change in total CRA recipients 2020 to 2021</c:v>
                </c:pt>
              </c:strCache>
            </c:strRef>
          </c:cat>
          <c:val>
            <c:numRef>
              <c:f>'Rental Stress'!$R$53:$T$53</c:f>
              <c:numCache>
                <c:formatCode>General</c:formatCode>
                <c:ptCount val="3"/>
                <c:pt idx="0">
                  <c:v>9471</c:v>
                </c:pt>
                <c:pt idx="1">
                  <c:v>2504</c:v>
                </c:pt>
                <c:pt idx="2">
                  <c:v>-7237</c:v>
                </c:pt>
              </c:numCache>
            </c:numRef>
          </c:val>
          <c:extLst>
            <c:ext xmlns:c16="http://schemas.microsoft.com/office/drawing/2014/chart" uri="{C3380CC4-5D6E-409C-BE32-E72D297353CC}">
              <c16:uniqueId val="{00000000-53D1-48A2-9421-EA2771A4D13B}"/>
            </c:ext>
          </c:extLst>
        </c:ser>
        <c:dLbls>
          <c:showLegendKey val="0"/>
          <c:showVal val="0"/>
          <c:showCatName val="0"/>
          <c:showSerName val="0"/>
          <c:showPercent val="0"/>
          <c:showBubbleSize val="0"/>
        </c:dLbls>
        <c:gapWidth val="182"/>
        <c:axId val="694462784"/>
        <c:axId val="694461144"/>
      </c:barChart>
      <c:catAx>
        <c:axId val="69446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94461144"/>
        <c:crosses val="autoZero"/>
        <c:auto val="1"/>
        <c:lblAlgn val="ctr"/>
        <c:lblOffset val="100"/>
        <c:noMultiLvlLbl val="0"/>
      </c:catAx>
      <c:valAx>
        <c:axId val="694461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46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959</TotalTime>
  <Pages>21</Pages>
  <Words>3842</Words>
  <Characters>20410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24204</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Coast - What's happening in the housing market</dc:title>
  <dc:creator>Laura Yan Guo</dc:creator>
  <cp:lastModifiedBy>JOSHUA YOUKHANA</cp:lastModifiedBy>
  <cp:revision>100</cp:revision>
  <cp:lastPrinted>1900-12-31T14:00:00Z</cp:lastPrinted>
  <dcterms:created xsi:type="dcterms:W3CDTF">2022-11-27T22:32:00Z</dcterms:created>
  <dcterms:modified xsi:type="dcterms:W3CDTF">2023-09-13T01:38:00Z</dcterms:modified>
</cp:coreProperties>
</file>