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E1E3" w14:textId="77777777" w:rsidR="00861D16" w:rsidRPr="008E7BB1" w:rsidRDefault="00132E18" w:rsidP="00FE5FB2">
      <w:pPr>
        <w:pStyle w:val="Heading1"/>
      </w:pPr>
      <w:r w:rsidRPr="008E7BB1">
        <w:t>Eastern City</w:t>
      </w:r>
      <w:r w:rsidR="00E76895" w:rsidRPr="008E7BB1">
        <w:t xml:space="preserve"> District – </w:t>
      </w:r>
      <w:r w:rsidR="00DF3BFD" w:rsidRPr="008E7BB1">
        <w:t xml:space="preserve">What’s happening </w:t>
      </w:r>
      <w:r w:rsidR="00573960" w:rsidRPr="008E7BB1">
        <w:t>with Supply and is it a good match</w:t>
      </w:r>
    </w:p>
    <w:p w14:paraId="7AB771CB" w14:textId="77777777" w:rsidR="001315CF" w:rsidRDefault="001315CF" w:rsidP="009E24DC">
      <w:pPr>
        <w:pStyle w:val="Heading2"/>
        <w:rPr>
          <w:b w:val="0"/>
          <w:sz w:val="22"/>
          <w:szCs w:val="22"/>
        </w:rPr>
      </w:pPr>
    </w:p>
    <w:p w14:paraId="6A956FA8" w14:textId="77777777" w:rsidR="008E7BB1" w:rsidRDefault="008E7BB1" w:rsidP="008E7BB1">
      <w:pPr>
        <w:rPr>
          <w:sz w:val="22"/>
          <w:szCs w:val="22"/>
        </w:rPr>
      </w:pPr>
      <w:r>
        <w:rPr>
          <w:sz w:val="22"/>
          <w:szCs w:val="22"/>
        </w:rPr>
        <w:t>This Housing Snapshot looks at dwelling type, bedroom mix, tenure, social housing supply and the gaps between demand and supply, with a focus on the housing needs of lower income households.</w:t>
      </w:r>
    </w:p>
    <w:p w14:paraId="01E96411" w14:textId="77777777" w:rsidR="008E7BB1" w:rsidRDefault="008E7BB1" w:rsidP="008E7BB1">
      <w:pPr>
        <w:rPr>
          <w:sz w:val="22"/>
          <w:szCs w:val="22"/>
        </w:rPr>
      </w:pPr>
      <w:r>
        <w:rPr>
          <w:sz w:val="22"/>
          <w:szCs w:val="22"/>
        </w:rPr>
        <w:t>There have been significant changes in Eastern City since the 2016 Census and further developments impacting housing supply since the 2021 Census.</w:t>
      </w:r>
    </w:p>
    <w:p w14:paraId="71B08018" w14:textId="77777777" w:rsidR="008E7BB1" w:rsidRPr="004D7321" w:rsidRDefault="008E7BB1" w:rsidP="008E7BB1">
      <w:pPr>
        <w:rPr>
          <w:sz w:val="22"/>
          <w:szCs w:val="22"/>
        </w:rPr>
      </w:pPr>
      <w:r>
        <w:rPr>
          <w:sz w:val="22"/>
          <w:szCs w:val="22"/>
        </w:rPr>
        <w:t>The Australian Bureau of Statistics reported that across Australia for January 2023,</w:t>
      </w:r>
      <w:r w:rsidRPr="0046033F">
        <w:t xml:space="preserve"> </w:t>
      </w:r>
      <w:r w:rsidRPr="0046033F">
        <w:rPr>
          <w:sz w:val="22"/>
          <w:szCs w:val="22"/>
        </w:rPr>
        <w:t>"</w:t>
      </w:r>
      <w:r>
        <w:rPr>
          <w:sz w:val="22"/>
          <w:szCs w:val="22"/>
        </w:rPr>
        <w:t>a</w:t>
      </w:r>
      <w:r w:rsidRPr="0046033F">
        <w:rPr>
          <w:sz w:val="22"/>
          <w:szCs w:val="22"/>
        </w:rPr>
        <w:t>pprovals for private sector houses fell by 13.8 per cent, the fifth consecutive drop, to be the lowest result recorded since June 2012".</w:t>
      </w:r>
      <w:r>
        <w:rPr>
          <w:sz w:val="22"/>
          <w:szCs w:val="22"/>
        </w:rPr>
        <w:t xml:space="preserve">  Further, </w:t>
      </w:r>
      <w:r w:rsidRPr="0046033F">
        <w:rPr>
          <w:sz w:val="22"/>
          <w:szCs w:val="22"/>
        </w:rPr>
        <w:t xml:space="preserve">total dwelling approvals decreased in New South Wales </w:t>
      </w:r>
      <w:r>
        <w:rPr>
          <w:sz w:val="22"/>
          <w:szCs w:val="22"/>
        </w:rPr>
        <w:t xml:space="preserve">by </w:t>
      </w:r>
      <w:r w:rsidRPr="0046033F">
        <w:rPr>
          <w:sz w:val="22"/>
          <w:szCs w:val="22"/>
        </w:rPr>
        <w:t>-49.0 per cent</w:t>
      </w:r>
      <w:r>
        <w:rPr>
          <w:sz w:val="22"/>
          <w:szCs w:val="22"/>
        </w:rPr>
        <w:t xml:space="preserve">.  </w:t>
      </w:r>
    </w:p>
    <w:p w14:paraId="1B2F0119" w14:textId="0743C6ED" w:rsidR="008E7BB1" w:rsidRPr="00E95E98" w:rsidRDefault="008E7BB1" w:rsidP="008E7BB1">
      <w:pPr>
        <w:rPr>
          <w:sz w:val="22"/>
          <w:szCs w:val="22"/>
        </w:rPr>
      </w:pPr>
      <w:r>
        <w:rPr>
          <w:sz w:val="22"/>
          <w:szCs w:val="22"/>
        </w:rPr>
        <w:t>At a time when immigration is surging and there is strong demand for housing, there is a critical shortage of private rental accommodation as well as a skills shortage in the building sector</w:t>
      </w:r>
      <w:r w:rsidR="00070908">
        <w:rPr>
          <w:sz w:val="22"/>
          <w:szCs w:val="22"/>
        </w:rPr>
        <w:t xml:space="preserve"> and rapidly rising construction costs</w:t>
      </w:r>
      <w:r>
        <w:rPr>
          <w:sz w:val="22"/>
          <w:szCs w:val="22"/>
        </w:rPr>
        <w:t>. This suggests that it is likely to be some time before supply pressures ease.</w:t>
      </w:r>
    </w:p>
    <w:p w14:paraId="2F44493D" w14:textId="77777777" w:rsidR="008E7BB1" w:rsidRPr="008E7BB1" w:rsidRDefault="008E7BB1" w:rsidP="008E7BB1"/>
    <w:p w14:paraId="69BA7450" w14:textId="77777777" w:rsidR="00D875E9" w:rsidRPr="000779A6" w:rsidRDefault="00573960" w:rsidP="009E24DC">
      <w:pPr>
        <w:pStyle w:val="Heading2"/>
      </w:pPr>
      <w:r w:rsidRPr="000779A6">
        <w:t>Dwelling Type</w:t>
      </w:r>
    </w:p>
    <w:p w14:paraId="310D0205" w14:textId="77777777" w:rsidR="001315CF" w:rsidRDefault="001315CF" w:rsidP="001315CF">
      <w:pPr>
        <w:pStyle w:val="ListParagraph"/>
        <w:numPr>
          <w:ilvl w:val="0"/>
          <w:numId w:val="13"/>
        </w:numPr>
        <w:rPr>
          <w:sz w:val="22"/>
          <w:szCs w:val="22"/>
        </w:rPr>
      </w:pPr>
      <w:r>
        <w:rPr>
          <w:sz w:val="22"/>
          <w:szCs w:val="22"/>
        </w:rPr>
        <w:t xml:space="preserve">At the 2021 Census there were </w:t>
      </w:r>
      <w:r w:rsidR="00621A53">
        <w:rPr>
          <w:sz w:val="22"/>
          <w:szCs w:val="22"/>
        </w:rPr>
        <w:t>455,052</w:t>
      </w:r>
      <w:r>
        <w:rPr>
          <w:sz w:val="22"/>
          <w:szCs w:val="22"/>
        </w:rPr>
        <w:t xml:space="preserve"> dwellings in </w:t>
      </w:r>
      <w:r w:rsidR="00621A53">
        <w:rPr>
          <w:sz w:val="22"/>
          <w:szCs w:val="22"/>
        </w:rPr>
        <w:t>Eastern</w:t>
      </w:r>
      <w:r>
        <w:rPr>
          <w:sz w:val="22"/>
          <w:szCs w:val="22"/>
        </w:rPr>
        <w:t xml:space="preserve"> City.  </w:t>
      </w:r>
    </w:p>
    <w:p w14:paraId="5B13554D" w14:textId="77777777" w:rsidR="001315CF" w:rsidRDefault="001315CF" w:rsidP="001315CF">
      <w:pPr>
        <w:pStyle w:val="ListParagraph"/>
        <w:numPr>
          <w:ilvl w:val="0"/>
          <w:numId w:val="13"/>
        </w:numPr>
        <w:rPr>
          <w:sz w:val="22"/>
          <w:szCs w:val="22"/>
        </w:rPr>
      </w:pPr>
      <w:r>
        <w:rPr>
          <w:sz w:val="22"/>
          <w:szCs w:val="22"/>
        </w:rPr>
        <w:t xml:space="preserve">Of these </w:t>
      </w:r>
      <w:r w:rsidR="008B38DD">
        <w:rPr>
          <w:sz w:val="22"/>
          <w:szCs w:val="22"/>
        </w:rPr>
        <w:t>88.3</w:t>
      </w:r>
      <w:r>
        <w:rPr>
          <w:sz w:val="22"/>
          <w:szCs w:val="22"/>
        </w:rPr>
        <w:t>% were occupied, (</w:t>
      </w:r>
      <w:r w:rsidR="008B38DD">
        <w:rPr>
          <w:sz w:val="22"/>
          <w:szCs w:val="22"/>
        </w:rPr>
        <w:t>down</w:t>
      </w:r>
      <w:r>
        <w:rPr>
          <w:sz w:val="22"/>
          <w:szCs w:val="22"/>
        </w:rPr>
        <w:t xml:space="preserve"> from </w:t>
      </w:r>
      <w:r w:rsidR="008B38DD">
        <w:rPr>
          <w:sz w:val="22"/>
          <w:szCs w:val="22"/>
        </w:rPr>
        <w:t>90.8</w:t>
      </w:r>
      <w:r>
        <w:rPr>
          <w:sz w:val="22"/>
          <w:szCs w:val="22"/>
        </w:rPr>
        <w:t xml:space="preserve">% in 2016), </w:t>
      </w:r>
      <w:r w:rsidR="00F96FD3">
        <w:rPr>
          <w:sz w:val="22"/>
          <w:szCs w:val="22"/>
        </w:rPr>
        <w:t xml:space="preserve">well </w:t>
      </w:r>
      <w:r w:rsidR="008B38DD">
        <w:rPr>
          <w:sz w:val="22"/>
          <w:szCs w:val="22"/>
        </w:rPr>
        <w:t>below</w:t>
      </w:r>
      <w:r>
        <w:rPr>
          <w:sz w:val="22"/>
          <w:szCs w:val="22"/>
        </w:rPr>
        <w:t xml:space="preserve"> the 92.0% average percentage occupied in Greater Sydney.</w:t>
      </w:r>
    </w:p>
    <w:p w14:paraId="0FBC62DC" w14:textId="77777777" w:rsidR="001315CF" w:rsidRDefault="001315CF" w:rsidP="001315CF">
      <w:pPr>
        <w:pStyle w:val="ListParagraph"/>
        <w:numPr>
          <w:ilvl w:val="0"/>
          <w:numId w:val="14"/>
        </w:numPr>
        <w:rPr>
          <w:sz w:val="22"/>
          <w:szCs w:val="22"/>
        </w:rPr>
      </w:pPr>
      <w:r>
        <w:rPr>
          <w:sz w:val="22"/>
          <w:szCs w:val="22"/>
        </w:rPr>
        <w:t xml:space="preserve">Consequently </w:t>
      </w:r>
      <w:r w:rsidR="008B38DD">
        <w:rPr>
          <w:sz w:val="22"/>
          <w:szCs w:val="22"/>
        </w:rPr>
        <w:t>11.7</w:t>
      </w:r>
      <w:r>
        <w:rPr>
          <w:sz w:val="22"/>
          <w:szCs w:val="22"/>
        </w:rPr>
        <w:t>% were unoccupied (</w:t>
      </w:r>
      <w:r w:rsidR="008B38DD">
        <w:rPr>
          <w:sz w:val="22"/>
          <w:szCs w:val="22"/>
        </w:rPr>
        <w:t>up</w:t>
      </w:r>
      <w:r>
        <w:rPr>
          <w:sz w:val="22"/>
          <w:szCs w:val="22"/>
        </w:rPr>
        <w:t xml:space="preserve"> from </w:t>
      </w:r>
      <w:r w:rsidR="008B38DD">
        <w:rPr>
          <w:sz w:val="22"/>
          <w:szCs w:val="22"/>
        </w:rPr>
        <w:t>9.2</w:t>
      </w:r>
      <w:r>
        <w:rPr>
          <w:sz w:val="22"/>
          <w:szCs w:val="22"/>
        </w:rPr>
        <w:t>% in 2016) and compared to 8.0% in Greater Sydney.</w:t>
      </w:r>
    </w:p>
    <w:p w14:paraId="49295D60" w14:textId="77777777" w:rsidR="001315CF" w:rsidRPr="00094F5A" w:rsidRDefault="001315CF" w:rsidP="001315CF">
      <w:pPr>
        <w:pStyle w:val="ListParagraph"/>
        <w:numPr>
          <w:ilvl w:val="0"/>
          <w:numId w:val="14"/>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52F00257" w14:textId="77777777" w:rsidR="001315CF" w:rsidRPr="00094F5A" w:rsidRDefault="001315CF" w:rsidP="001315CF">
      <w:pPr>
        <w:numPr>
          <w:ilvl w:val="1"/>
          <w:numId w:val="14"/>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5C96B4F8" w14:textId="77777777" w:rsidR="001315CF" w:rsidRPr="00094F5A" w:rsidRDefault="001315CF" w:rsidP="001315CF">
      <w:pPr>
        <w:numPr>
          <w:ilvl w:val="1"/>
          <w:numId w:val="14"/>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1CA9877B" w14:textId="77777777" w:rsidR="001315CF" w:rsidRPr="00094F5A" w:rsidRDefault="001315CF" w:rsidP="001315CF">
      <w:pPr>
        <w:numPr>
          <w:ilvl w:val="1"/>
          <w:numId w:val="14"/>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2EBF370D" w14:textId="77777777" w:rsidR="001315CF" w:rsidRPr="00094F5A" w:rsidRDefault="001315CF" w:rsidP="001315CF">
      <w:pPr>
        <w:numPr>
          <w:ilvl w:val="1"/>
          <w:numId w:val="14"/>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78AFBE7E" w14:textId="77777777" w:rsidR="001315CF" w:rsidRPr="00094F5A" w:rsidRDefault="001315CF" w:rsidP="001315CF">
      <w:pPr>
        <w:numPr>
          <w:ilvl w:val="1"/>
          <w:numId w:val="14"/>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092BE0A3" w14:textId="77777777" w:rsidR="001315CF" w:rsidRPr="00094F5A" w:rsidRDefault="001315CF" w:rsidP="001315CF">
      <w:pPr>
        <w:numPr>
          <w:ilvl w:val="1"/>
          <w:numId w:val="14"/>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7355803D" w14:textId="77777777" w:rsidR="001315CF" w:rsidRPr="00094F5A" w:rsidRDefault="001315CF" w:rsidP="001315CF">
      <w:pPr>
        <w:numPr>
          <w:ilvl w:val="1"/>
          <w:numId w:val="14"/>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322598C0" w14:textId="77777777" w:rsidR="001315CF" w:rsidRPr="00094F5A" w:rsidRDefault="001315CF" w:rsidP="001315CF">
      <w:pPr>
        <w:numPr>
          <w:ilvl w:val="1"/>
          <w:numId w:val="14"/>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6761C980" w14:textId="77777777" w:rsidR="001315CF" w:rsidRPr="00094F5A" w:rsidRDefault="001315CF" w:rsidP="001315CF">
      <w:pPr>
        <w:numPr>
          <w:ilvl w:val="1"/>
          <w:numId w:val="14"/>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2D7C25D8" w14:textId="77777777" w:rsidR="001315CF" w:rsidRDefault="001315CF" w:rsidP="001315CF">
      <w:pPr>
        <w:numPr>
          <w:ilvl w:val="1"/>
          <w:numId w:val="14"/>
        </w:numPr>
        <w:shd w:val="clear" w:color="auto" w:fill="FFFFFF"/>
        <w:spacing w:before="0" w:after="0"/>
        <w:textAlignment w:val="baseline"/>
        <w:rPr>
          <w:rFonts w:cs="Arial"/>
          <w:color w:val="000000"/>
          <w:sz w:val="22"/>
          <w:szCs w:val="22"/>
        </w:rPr>
      </w:pPr>
      <w:r w:rsidRPr="00094F5A">
        <w:rPr>
          <w:rFonts w:cs="Arial"/>
          <w:color w:val="000000"/>
          <w:sz w:val="22"/>
          <w:szCs w:val="22"/>
        </w:rPr>
        <w:t>homes being land banked, that is held vacant until the local area economics (or personal circumstances) make it more profitable to sell or redevelop the property.</w:t>
      </w:r>
    </w:p>
    <w:p w14:paraId="0EC489FE" w14:textId="77777777" w:rsidR="00FC2BA7" w:rsidRDefault="00FC2BA7" w:rsidP="001315CF">
      <w:pPr>
        <w:pStyle w:val="ListParagraph"/>
        <w:numPr>
          <w:ilvl w:val="0"/>
          <w:numId w:val="14"/>
        </w:numPr>
        <w:rPr>
          <w:sz w:val="22"/>
          <w:szCs w:val="22"/>
        </w:rPr>
      </w:pPr>
      <w:r>
        <w:rPr>
          <w:sz w:val="22"/>
          <w:szCs w:val="22"/>
        </w:rPr>
        <w:lastRenderedPageBreak/>
        <w:t xml:space="preserve">However, in Eastern City the impact of Airbnb and short term lettings generally has been significant.  </w:t>
      </w:r>
    </w:p>
    <w:p w14:paraId="24EE836E" w14:textId="1522ED41" w:rsidR="00FC2BA7" w:rsidRPr="00C71790" w:rsidRDefault="00FC2BA7" w:rsidP="006C6D59">
      <w:pPr>
        <w:pStyle w:val="ListParagraph"/>
        <w:numPr>
          <w:ilvl w:val="0"/>
          <w:numId w:val="14"/>
        </w:numPr>
        <w:spacing w:before="0" w:line="259" w:lineRule="auto"/>
        <w:rPr>
          <w:sz w:val="22"/>
          <w:szCs w:val="22"/>
        </w:rPr>
      </w:pPr>
      <w:r w:rsidRPr="00C71790">
        <w:rPr>
          <w:sz w:val="22"/>
          <w:szCs w:val="22"/>
          <w:lang w:val="en-US"/>
        </w:rPr>
        <w:t xml:space="preserve">In 2023, according to Inside Airbnb, there are 22,659 listings in Sydney of which 69.6% are entire homes.  Of these, 13,516 or 59.6% are in Eastern City, with 5,019 in City of Sydney, 2,898 in Waverley, 1,820 in Randwick, 1,413 in the Inner West and </w:t>
      </w:r>
      <w:proofErr w:type="spellStart"/>
      <w:r w:rsidRPr="00C71790">
        <w:rPr>
          <w:sz w:val="22"/>
          <w:szCs w:val="22"/>
          <w:lang w:val="en-US"/>
        </w:rPr>
        <w:t>Woo</w:t>
      </w:r>
      <w:r w:rsidR="003F67EF">
        <w:rPr>
          <w:sz w:val="22"/>
          <w:szCs w:val="22"/>
          <w:lang w:val="en-US"/>
        </w:rPr>
        <w:t>l</w:t>
      </w:r>
      <w:r w:rsidRPr="00C71790">
        <w:rPr>
          <w:sz w:val="22"/>
          <w:szCs w:val="22"/>
          <w:lang w:val="en-US"/>
        </w:rPr>
        <w:t>lahra</w:t>
      </w:r>
      <w:proofErr w:type="spellEnd"/>
      <w:r w:rsidRPr="00C71790">
        <w:rPr>
          <w:sz w:val="22"/>
          <w:szCs w:val="22"/>
          <w:lang w:val="en-US"/>
        </w:rPr>
        <w:t xml:space="preserve"> 871.  Note that all these LGAs have much higher proportions of unoccupied dwellings than the average Greater Sydney – City of Sydney 16.1%, </w:t>
      </w:r>
      <w:proofErr w:type="spellStart"/>
      <w:r w:rsidRPr="00C71790">
        <w:rPr>
          <w:sz w:val="22"/>
          <w:szCs w:val="22"/>
          <w:lang w:val="en-US"/>
        </w:rPr>
        <w:t>Woollahra</w:t>
      </w:r>
      <w:proofErr w:type="spellEnd"/>
      <w:r w:rsidRPr="00C71790">
        <w:rPr>
          <w:sz w:val="22"/>
          <w:szCs w:val="22"/>
          <w:lang w:val="en-US"/>
        </w:rPr>
        <w:t xml:space="preserve"> 14.1%, Waverley 12.0%, </w:t>
      </w:r>
      <w:r w:rsidR="00C71790" w:rsidRPr="00C71790">
        <w:rPr>
          <w:sz w:val="22"/>
          <w:szCs w:val="22"/>
          <w:lang w:val="en-US"/>
        </w:rPr>
        <w:t>Randwick 10.4% and Inner West 9.9% (with Strathfield on 10.0%).  The impact of Airbnb is further discussed in the Eastern City Snapshot of What’s Happening in the Housing Market, as well as the section below on Tenure.</w:t>
      </w:r>
    </w:p>
    <w:p w14:paraId="6D34E89A" w14:textId="77777777" w:rsidR="001315CF" w:rsidRDefault="001315CF" w:rsidP="001315CF">
      <w:pPr>
        <w:pStyle w:val="ListParagraph"/>
        <w:numPr>
          <w:ilvl w:val="0"/>
          <w:numId w:val="14"/>
        </w:numPr>
        <w:rPr>
          <w:sz w:val="22"/>
          <w:szCs w:val="22"/>
        </w:rPr>
      </w:pPr>
      <w:r>
        <w:rPr>
          <w:sz w:val="22"/>
          <w:szCs w:val="22"/>
        </w:rPr>
        <w:t xml:space="preserve">The graph below shows the proportion of occupied and unoccupied dwellings in </w:t>
      </w:r>
      <w:r w:rsidR="00C71790">
        <w:rPr>
          <w:sz w:val="22"/>
          <w:szCs w:val="22"/>
        </w:rPr>
        <w:t>Eastern</w:t>
      </w:r>
      <w:r>
        <w:rPr>
          <w:sz w:val="22"/>
          <w:szCs w:val="22"/>
        </w:rPr>
        <w:t xml:space="preserve"> City and Greater Sydney at the 2021 Census.</w:t>
      </w:r>
    </w:p>
    <w:p w14:paraId="21CC4D64" w14:textId="77777777" w:rsidR="000779A6" w:rsidRDefault="001315CF" w:rsidP="001315CF">
      <w:pPr>
        <w:rPr>
          <w:sz w:val="22"/>
        </w:rPr>
      </w:pPr>
      <w:r>
        <w:rPr>
          <w:noProof/>
          <w:sz w:val="22"/>
        </w:rPr>
        <w:drawing>
          <wp:inline distT="0" distB="0" distL="0" distR="0" wp14:anchorId="6F4F57E2" wp14:editId="51EB74CF">
            <wp:extent cx="5724525" cy="3724910"/>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724910"/>
                    </a:xfrm>
                    <a:prstGeom prst="rect">
                      <a:avLst/>
                    </a:prstGeom>
                    <a:noFill/>
                  </pic:spPr>
                </pic:pic>
              </a:graphicData>
            </a:graphic>
          </wp:inline>
        </w:drawing>
      </w:r>
    </w:p>
    <w:p w14:paraId="35C1A91B" w14:textId="77777777" w:rsidR="001315CF" w:rsidRDefault="001315CF" w:rsidP="001315CF">
      <w:pPr>
        <w:rPr>
          <w:sz w:val="22"/>
        </w:rPr>
      </w:pPr>
    </w:p>
    <w:p w14:paraId="618137FD" w14:textId="77777777" w:rsidR="005C1F4D" w:rsidRDefault="005C1F4D" w:rsidP="001315CF">
      <w:pPr>
        <w:pStyle w:val="ListParagraph"/>
        <w:numPr>
          <w:ilvl w:val="0"/>
          <w:numId w:val="15"/>
        </w:numPr>
        <w:rPr>
          <w:rFonts w:cs="Arial"/>
          <w:color w:val="000000"/>
          <w:sz w:val="22"/>
          <w:szCs w:val="22"/>
          <w:shd w:val="clear" w:color="auto" w:fill="FFFFFF"/>
        </w:rPr>
      </w:pPr>
      <w:r>
        <w:rPr>
          <w:rFonts w:cs="Arial"/>
          <w:color w:val="000000"/>
          <w:sz w:val="22"/>
          <w:szCs w:val="22"/>
          <w:shd w:val="clear" w:color="auto" w:fill="FFFFFF"/>
        </w:rPr>
        <w:t>Eastern City has much greater dwelling diversity than is generally the case in other parts of Sydney and the Rest of NSW.</w:t>
      </w:r>
    </w:p>
    <w:p w14:paraId="354DD42E" w14:textId="77777777" w:rsidR="001315CF" w:rsidRDefault="001315CF" w:rsidP="001315CF">
      <w:pPr>
        <w:pStyle w:val="ListParagraph"/>
        <w:numPr>
          <w:ilvl w:val="0"/>
          <w:numId w:val="15"/>
        </w:numPr>
        <w:rPr>
          <w:rFonts w:cs="Arial"/>
          <w:color w:val="000000"/>
          <w:sz w:val="22"/>
          <w:szCs w:val="22"/>
          <w:shd w:val="clear" w:color="auto" w:fill="FFFFFF"/>
        </w:rPr>
      </w:pPr>
      <w:r w:rsidRPr="001C0168">
        <w:rPr>
          <w:rFonts w:cs="Arial"/>
          <w:color w:val="000000"/>
          <w:sz w:val="22"/>
          <w:szCs w:val="22"/>
          <w:shd w:val="clear" w:color="auto" w:fill="FFFFFF"/>
        </w:rPr>
        <w:t>At the 2021 Census, separate houses compris</w:t>
      </w:r>
      <w:r w:rsidR="00B26E89">
        <w:rPr>
          <w:rFonts w:cs="Arial"/>
          <w:color w:val="000000"/>
          <w:sz w:val="22"/>
          <w:szCs w:val="22"/>
          <w:shd w:val="clear" w:color="auto" w:fill="FFFFFF"/>
        </w:rPr>
        <w:t>ed</w:t>
      </w:r>
      <w:r w:rsidRPr="001C0168">
        <w:rPr>
          <w:rFonts w:cs="Arial"/>
          <w:color w:val="000000"/>
          <w:sz w:val="22"/>
          <w:szCs w:val="22"/>
          <w:shd w:val="clear" w:color="auto" w:fill="FFFFFF"/>
        </w:rPr>
        <w:t xml:space="preserve"> </w:t>
      </w:r>
      <w:r w:rsidR="00705F17">
        <w:rPr>
          <w:rFonts w:cs="Arial"/>
          <w:color w:val="000000"/>
          <w:sz w:val="22"/>
          <w:szCs w:val="22"/>
          <w:shd w:val="clear" w:color="auto" w:fill="FFFFFF"/>
        </w:rPr>
        <w:t xml:space="preserve">just </w:t>
      </w:r>
      <w:r w:rsidR="00B26E89">
        <w:rPr>
          <w:rFonts w:cs="Arial"/>
          <w:color w:val="000000"/>
          <w:sz w:val="22"/>
          <w:szCs w:val="22"/>
          <w:shd w:val="clear" w:color="auto" w:fill="FFFFFF"/>
        </w:rPr>
        <w:t>22.9</w:t>
      </w:r>
      <w:r w:rsidRPr="001C0168">
        <w:rPr>
          <w:rFonts w:cs="Arial"/>
          <w:color w:val="000000"/>
          <w:sz w:val="22"/>
          <w:szCs w:val="22"/>
          <w:shd w:val="clear" w:color="auto" w:fill="FFFFFF"/>
        </w:rPr>
        <w:t>% of all occupied dwellings</w:t>
      </w:r>
      <w:r w:rsidR="006F3B13">
        <w:rPr>
          <w:rFonts w:cs="Arial"/>
          <w:color w:val="000000"/>
          <w:sz w:val="22"/>
          <w:szCs w:val="22"/>
          <w:shd w:val="clear" w:color="auto" w:fill="FFFFFF"/>
        </w:rPr>
        <w:t xml:space="preserve"> in Eastern City</w:t>
      </w:r>
      <w:r w:rsidRPr="001C0168">
        <w:rPr>
          <w:rFonts w:cs="Arial"/>
          <w:color w:val="000000"/>
          <w:sz w:val="22"/>
          <w:szCs w:val="22"/>
          <w:shd w:val="clear" w:color="auto" w:fill="FFFFFF"/>
        </w:rPr>
        <w:t xml:space="preserve">, </w:t>
      </w:r>
      <w:r>
        <w:rPr>
          <w:rFonts w:cs="Arial"/>
          <w:color w:val="000000"/>
          <w:sz w:val="22"/>
          <w:szCs w:val="22"/>
          <w:shd w:val="clear" w:color="auto" w:fill="FFFFFF"/>
        </w:rPr>
        <w:t xml:space="preserve">well </w:t>
      </w:r>
      <w:r w:rsidR="00B26E89">
        <w:rPr>
          <w:rFonts w:cs="Arial"/>
          <w:color w:val="000000"/>
          <w:sz w:val="22"/>
          <w:szCs w:val="22"/>
          <w:shd w:val="clear" w:color="auto" w:fill="FFFFFF"/>
        </w:rPr>
        <w:t>below</w:t>
      </w:r>
      <w:r>
        <w:rPr>
          <w:rFonts w:cs="Arial"/>
          <w:color w:val="000000"/>
          <w:sz w:val="22"/>
          <w:szCs w:val="22"/>
          <w:shd w:val="clear" w:color="auto" w:fill="FFFFFF"/>
        </w:rPr>
        <w:t xml:space="preserve"> the average of </w:t>
      </w:r>
      <w:r w:rsidRPr="001C0168">
        <w:rPr>
          <w:rFonts w:cs="Arial"/>
          <w:color w:val="000000"/>
          <w:sz w:val="22"/>
          <w:szCs w:val="22"/>
          <w:shd w:val="clear" w:color="auto" w:fill="FFFFFF"/>
        </w:rPr>
        <w:t>55.4%</w:t>
      </w:r>
      <w:r>
        <w:rPr>
          <w:rFonts w:cs="Arial"/>
          <w:color w:val="000000"/>
          <w:sz w:val="22"/>
          <w:szCs w:val="22"/>
          <w:shd w:val="clear" w:color="auto" w:fill="FFFFFF"/>
        </w:rPr>
        <w:t xml:space="preserve"> for</w:t>
      </w:r>
      <w:r w:rsidRPr="001C0168">
        <w:rPr>
          <w:rFonts w:cs="Arial"/>
          <w:color w:val="000000"/>
          <w:sz w:val="22"/>
          <w:szCs w:val="22"/>
          <w:shd w:val="clear" w:color="auto" w:fill="FFFFFF"/>
        </w:rPr>
        <w:t xml:space="preserve"> Greater Sydney</w:t>
      </w:r>
      <w:r>
        <w:rPr>
          <w:rFonts w:cs="Arial"/>
          <w:color w:val="000000"/>
          <w:sz w:val="22"/>
          <w:szCs w:val="22"/>
          <w:shd w:val="clear" w:color="auto" w:fill="FFFFFF"/>
        </w:rPr>
        <w:t xml:space="preserve">.  </w:t>
      </w:r>
      <w:r w:rsidR="00056FAA">
        <w:rPr>
          <w:rFonts w:cs="Arial"/>
          <w:color w:val="000000"/>
          <w:sz w:val="22"/>
          <w:szCs w:val="22"/>
          <w:shd w:val="clear" w:color="auto" w:fill="FFFFFF"/>
        </w:rPr>
        <w:t>Within Eastern City, the proportion of separate houses ranged from 37.0% in Canada Bay to 2.1% in City of Sydney.</w:t>
      </w:r>
    </w:p>
    <w:p w14:paraId="05D1B870" w14:textId="77777777" w:rsidR="00B26E89" w:rsidRDefault="00B26E89" w:rsidP="001315CF">
      <w:pPr>
        <w:pStyle w:val="ListParagraph"/>
        <w:numPr>
          <w:ilvl w:val="0"/>
          <w:numId w:val="15"/>
        </w:numPr>
        <w:rPr>
          <w:rFonts w:cs="Arial"/>
          <w:color w:val="000000"/>
          <w:sz w:val="22"/>
          <w:szCs w:val="22"/>
          <w:shd w:val="clear" w:color="auto" w:fill="FFFFFF"/>
        </w:rPr>
      </w:pPr>
      <w:r>
        <w:rPr>
          <w:rFonts w:cs="Arial"/>
          <w:color w:val="000000"/>
          <w:sz w:val="22"/>
          <w:szCs w:val="22"/>
          <w:shd w:val="clear" w:color="auto" w:fill="FFFFFF"/>
        </w:rPr>
        <w:t>Unlike other parts of Sydney and NSW, flats comprised the majority of dwellings in Eastern City (58.4% compared to 12.9% in Greater Sydney).</w:t>
      </w:r>
      <w:r w:rsidR="00056FAA">
        <w:rPr>
          <w:rFonts w:cs="Arial"/>
          <w:color w:val="000000"/>
          <w:sz w:val="22"/>
          <w:szCs w:val="22"/>
          <w:shd w:val="clear" w:color="auto" w:fill="FFFFFF"/>
        </w:rPr>
        <w:t xml:space="preserve">  Within Eastern City, the proportion of flats ranged from 78.5% in City of Sydney to 42.4% in Inner West.</w:t>
      </w:r>
    </w:p>
    <w:p w14:paraId="599D5E5A" w14:textId="77777777" w:rsidR="001315CF" w:rsidRPr="00705F17" w:rsidRDefault="001315CF" w:rsidP="00705F17">
      <w:pPr>
        <w:pStyle w:val="ListParagraph"/>
        <w:numPr>
          <w:ilvl w:val="0"/>
          <w:numId w:val="15"/>
        </w:numPr>
        <w:rPr>
          <w:rFonts w:cs="Arial"/>
          <w:color w:val="000000"/>
          <w:sz w:val="22"/>
          <w:szCs w:val="22"/>
          <w:shd w:val="clear" w:color="auto" w:fill="FFFFFF"/>
        </w:rPr>
      </w:pPr>
      <w:r w:rsidRPr="001C0168">
        <w:rPr>
          <w:rFonts w:cs="Arial"/>
          <w:color w:val="000000"/>
          <w:sz w:val="22"/>
          <w:szCs w:val="22"/>
          <w:shd w:val="clear" w:color="auto" w:fill="FFFFFF"/>
        </w:rPr>
        <w:t xml:space="preserve">A further </w:t>
      </w:r>
      <w:r>
        <w:rPr>
          <w:rFonts w:cs="Arial"/>
          <w:color w:val="000000"/>
          <w:sz w:val="22"/>
          <w:szCs w:val="22"/>
          <w:shd w:val="clear" w:color="auto" w:fill="FFFFFF"/>
        </w:rPr>
        <w:t>1</w:t>
      </w:r>
      <w:r w:rsidR="00B26E89">
        <w:rPr>
          <w:rFonts w:cs="Arial"/>
          <w:color w:val="000000"/>
          <w:sz w:val="22"/>
          <w:szCs w:val="22"/>
          <w:shd w:val="clear" w:color="auto" w:fill="FFFFFF"/>
        </w:rPr>
        <w:t>7.5</w:t>
      </w:r>
      <w:r w:rsidRPr="001C0168">
        <w:rPr>
          <w:rFonts w:cs="Arial"/>
          <w:color w:val="000000"/>
          <w:sz w:val="22"/>
          <w:szCs w:val="22"/>
          <w:shd w:val="clear" w:color="auto" w:fill="FFFFFF"/>
        </w:rPr>
        <w:t xml:space="preserve">% of occupied homes in </w:t>
      </w:r>
      <w:r w:rsidR="00B26E89">
        <w:rPr>
          <w:rFonts w:cs="Arial"/>
          <w:color w:val="000000"/>
          <w:sz w:val="22"/>
          <w:szCs w:val="22"/>
          <w:shd w:val="clear" w:color="auto" w:fill="FFFFFF"/>
        </w:rPr>
        <w:t>Eastern</w:t>
      </w:r>
      <w:r>
        <w:rPr>
          <w:rFonts w:cs="Arial"/>
          <w:color w:val="000000"/>
          <w:sz w:val="22"/>
          <w:szCs w:val="22"/>
          <w:shd w:val="clear" w:color="auto" w:fill="FFFFFF"/>
        </w:rPr>
        <w:t xml:space="preserve"> City</w:t>
      </w:r>
      <w:r w:rsidRPr="001C0168">
        <w:rPr>
          <w:rFonts w:cs="Arial"/>
          <w:color w:val="000000"/>
          <w:sz w:val="22"/>
          <w:szCs w:val="22"/>
          <w:shd w:val="clear" w:color="auto" w:fill="FFFFFF"/>
        </w:rPr>
        <w:t xml:space="preserve"> were semi-det</w:t>
      </w:r>
      <w:r>
        <w:rPr>
          <w:rFonts w:cs="Arial"/>
          <w:color w:val="000000"/>
          <w:sz w:val="22"/>
          <w:szCs w:val="22"/>
          <w:shd w:val="clear" w:color="auto" w:fill="FFFFFF"/>
        </w:rPr>
        <w:t xml:space="preserve">ached, terrace or town houses </w:t>
      </w:r>
      <w:r w:rsidRPr="001C0168">
        <w:rPr>
          <w:rFonts w:cs="Arial"/>
          <w:color w:val="000000"/>
          <w:sz w:val="22"/>
          <w:szCs w:val="22"/>
          <w:shd w:val="clear" w:color="auto" w:fill="FFFFFF"/>
        </w:rPr>
        <w:t xml:space="preserve">compared to </w:t>
      </w:r>
      <w:r>
        <w:rPr>
          <w:rFonts w:cs="Arial"/>
          <w:color w:val="000000"/>
          <w:sz w:val="22"/>
          <w:szCs w:val="22"/>
          <w:shd w:val="clear" w:color="auto" w:fill="FFFFFF"/>
        </w:rPr>
        <w:t>31.0% in Greater Sydney</w:t>
      </w:r>
      <w:r w:rsidRPr="001C0168">
        <w:rPr>
          <w:rFonts w:cs="Arial"/>
          <w:color w:val="000000"/>
          <w:sz w:val="22"/>
          <w:szCs w:val="22"/>
          <w:shd w:val="clear" w:color="auto" w:fill="FFFFFF"/>
        </w:rPr>
        <w:t>.</w:t>
      </w:r>
      <w:r w:rsidR="00056FAA">
        <w:rPr>
          <w:rFonts w:cs="Arial"/>
          <w:color w:val="000000"/>
          <w:sz w:val="22"/>
          <w:szCs w:val="22"/>
          <w:shd w:val="clear" w:color="auto" w:fill="FFFFFF"/>
        </w:rPr>
        <w:t xml:space="preserve">  Within the district, the proportion of </w:t>
      </w:r>
      <w:r w:rsidR="00056FAA">
        <w:rPr>
          <w:rFonts w:cs="Arial"/>
          <w:color w:val="000000"/>
          <w:sz w:val="22"/>
          <w:szCs w:val="22"/>
          <w:shd w:val="clear" w:color="auto" w:fill="FFFFFF"/>
        </w:rPr>
        <w:lastRenderedPageBreak/>
        <w:t>semi-detached, terrace or town houses ranged from 27.1% in Inner West to 5.3% in Strathfield.</w:t>
      </w:r>
    </w:p>
    <w:p w14:paraId="05398F58" w14:textId="77777777" w:rsidR="001315CF" w:rsidRDefault="001315CF" w:rsidP="001315CF">
      <w:pPr>
        <w:pStyle w:val="ListParagraph"/>
        <w:numPr>
          <w:ilvl w:val="0"/>
          <w:numId w:val="15"/>
        </w:numPr>
        <w:rPr>
          <w:rFonts w:cs="Arial"/>
          <w:color w:val="000000"/>
          <w:sz w:val="22"/>
          <w:szCs w:val="22"/>
          <w:shd w:val="clear" w:color="auto" w:fill="FFFFFF"/>
        </w:rPr>
      </w:pPr>
      <w:r>
        <w:rPr>
          <w:rFonts w:cs="Arial"/>
          <w:color w:val="000000"/>
          <w:sz w:val="22"/>
          <w:szCs w:val="22"/>
          <w:shd w:val="clear" w:color="auto" w:fill="FFFFFF"/>
        </w:rPr>
        <w:t xml:space="preserve">The graph and table below show the proportion of dwelling types for </w:t>
      </w:r>
      <w:r w:rsidR="00363909">
        <w:rPr>
          <w:rFonts w:cs="Arial"/>
          <w:color w:val="000000"/>
          <w:sz w:val="22"/>
          <w:szCs w:val="22"/>
          <w:shd w:val="clear" w:color="auto" w:fill="FFFFFF"/>
        </w:rPr>
        <w:t>Eastern</w:t>
      </w:r>
      <w:r>
        <w:rPr>
          <w:rFonts w:cs="Arial"/>
          <w:color w:val="000000"/>
          <w:sz w:val="22"/>
          <w:szCs w:val="22"/>
          <w:shd w:val="clear" w:color="auto" w:fill="FFFFFF"/>
        </w:rPr>
        <w:t xml:space="preserve"> City at the 2021 Census.</w:t>
      </w:r>
    </w:p>
    <w:p w14:paraId="17294C00" w14:textId="77777777" w:rsidR="001315CF" w:rsidRDefault="00491C17" w:rsidP="001315CF">
      <w:pPr>
        <w:rPr>
          <w:sz w:val="22"/>
        </w:rPr>
      </w:pPr>
      <w:r>
        <w:rPr>
          <w:noProof/>
          <w:sz w:val="22"/>
        </w:rPr>
        <w:drawing>
          <wp:inline distT="0" distB="0" distL="0" distR="0" wp14:anchorId="50ECFED7" wp14:editId="2EF96F8C">
            <wp:extent cx="6292215" cy="34313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2526" cy="3436985"/>
                    </a:xfrm>
                    <a:prstGeom prst="rect">
                      <a:avLst/>
                    </a:prstGeom>
                    <a:noFill/>
                  </pic:spPr>
                </pic:pic>
              </a:graphicData>
            </a:graphic>
          </wp:inline>
        </w:drawing>
      </w:r>
    </w:p>
    <w:p w14:paraId="2655552C" w14:textId="77777777" w:rsidR="001315CF" w:rsidRDefault="001315CF" w:rsidP="001315CF">
      <w:pPr>
        <w:rPr>
          <w:sz w:val="22"/>
        </w:rPr>
      </w:pPr>
    </w:p>
    <w:p w14:paraId="32B1432A" w14:textId="77777777" w:rsidR="00491C17" w:rsidRDefault="00491C17" w:rsidP="001315CF">
      <w:pPr>
        <w:rPr>
          <w:sz w:val="22"/>
        </w:rPr>
      </w:pPr>
      <w:r w:rsidRPr="00491C17">
        <w:rPr>
          <w:noProof/>
        </w:rPr>
        <w:drawing>
          <wp:inline distT="0" distB="0" distL="0" distR="0" wp14:anchorId="323927D9" wp14:editId="55BA8F71">
            <wp:extent cx="5553075" cy="2867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2867025"/>
                    </a:xfrm>
                    <a:prstGeom prst="rect">
                      <a:avLst/>
                    </a:prstGeom>
                    <a:noFill/>
                    <a:ln>
                      <a:noFill/>
                    </a:ln>
                  </pic:spPr>
                </pic:pic>
              </a:graphicData>
            </a:graphic>
          </wp:inline>
        </w:drawing>
      </w:r>
    </w:p>
    <w:p w14:paraId="556A755A" w14:textId="77777777" w:rsidR="001315CF" w:rsidRDefault="001315CF" w:rsidP="001315CF">
      <w:pPr>
        <w:rPr>
          <w:sz w:val="22"/>
        </w:rPr>
      </w:pPr>
    </w:p>
    <w:p w14:paraId="7024E864" w14:textId="77777777" w:rsidR="00491C17" w:rsidRDefault="00491C17" w:rsidP="00491C17">
      <w:pPr>
        <w:pStyle w:val="ListParagraph"/>
        <w:numPr>
          <w:ilvl w:val="0"/>
          <w:numId w:val="16"/>
        </w:numPr>
        <w:rPr>
          <w:sz w:val="22"/>
          <w:szCs w:val="22"/>
        </w:rPr>
      </w:pPr>
      <w:r>
        <w:rPr>
          <w:sz w:val="22"/>
          <w:szCs w:val="22"/>
        </w:rPr>
        <w:t xml:space="preserve">The graph below compares the proportion of dwelling types in </w:t>
      </w:r>
      <w:r w:rsidR="00A541A1">
        <w:rPr>
          <w:sz w:val="22"/>
          <w:szCs w:val="22"/>
        </w:rPr>
        <w:t>Eastern</w:t>
      </w:r>
      <w:r>
        <w:rPr>
          <w:sz w:val="22"/>
          <w:szCs w:val="22"/>
        </w:rPr>
        <w:t xml:space="preserve"> City with the average for Greater Sydney.</w:t>
      </w:r>
    </w:p>
    <w:p w14:paraId="7DFBFDE9" w14:textId="77777777" w:rsidR="00491C17" w:rsidRDefault="00491C17" w:rsidP="001315CF">
      <w:pPr>
        <w:rPr>
          <w:sz w:val="22"/>
        </w:rPr>
      </w:pPr>
      <w:r>
        <w:rPr>
          <w:noProof/>
          <w:sz w:val="22"/>
        </w:rPr>
        <w:lastRenderedPageBreak/>
        <w:drawing>
          <wp:inline distT="0" distB="0" distL="0" distR="0" wp14:anchorId="711DB332" wp14:editId="1B707A81">
            <wp:extent cx="6084570" cy="37922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570" cy="3792220"/>
                    </a:xfrm>
                    <a:prstGeom prst="rect">
                      <a:avLst/>
                    </a:prstGeom>
                    <a:noFill/>
                  </pic:spPr>
                </pic:pic>
              </a:graphicData>
            </a:graphic>
          </wp:inline>
        </w:drawing>
      </w:r>
    </w:p>
    <w:p w14:paraId="5064189C" w14:textId="77777777" w:rsidR="00491C17" w:rsidRDefault="00491C17" w:rsidP="00491C17">
      <w:pPr>
        <w:pStyle w:val="ListParagraph"/>
        <w:numPr>
          <w:ilvl w:val="0"/>
          <w:numId w:val="15"/>
        </w:numPr>
        <w:rPr>
          <w:rFonts w:cs="Arial"/>
          <w:color w:val="000000"/>
          <w:sz w:val="22"/>
          <w:szCs w:val="22"/>
          <w:shd w:val="clear" w:color="auto" w:fill="FFFFFF"/>
        </w:rPr>
      </w:pPr>
      <w:r>
        <w:rPr>
          <w:rFonts w:cs="Arial"/>
          <w:color w:val="000000"/>
          <w:sz w:val="22"/>
          <w:szCs w:val="22"/>
          <w:shd w:val="clear" w:color="auto" w:fill="FFFFFF"/>
        </w:rPr>
        <w:t>Other types of dwellings comprised just 0.</w:t>
      </w:r>
      <w:r w:rsidR="00674CB5">
        <w:rPr>
          <w:rFonts w:cs="Arial"/>
          <w:color w:val="000000"/>
          <w:sz w:val="22"/>
          <w:szCs w:val="22"/>
          <w:shd w:val="clear" w:color="auto" w:fill="FFFFFF"/>
        </w:rPr>
        <w:t>9</w:t>
      </w:r>
      <w:r>
        <w:rPr>
          <w:rFonts w:cs="Arial"/>
          <w:color w:val="000000"/>
          <w:sz w:val="22"/>
          <w:szCs w:val="22"/>
          <w:shd w:val="clear" w:color="auto" w:fill="FFFFFF"/>
        </w:rPr>
        <w:t xml:space="preserve">% of occupied dwellings in </w:t>
      </w:r>
      <w:r w:rsidR="00674CB5">
        <w:rPr>
          <w:rFonts w:cs="Arial"/>
          <w:color w:val="000000"/>
          <w:sz w:val="22"/>
          <w:szCs w:val="22"/>
          <w:shd w:val="clear" w:color="auto" w:fill="FFFFFF"/>
        </w:rPr>
        <w:t>Eastern City</w:t>
      </w:r>
      <w:r>
        <w:rPr>
          <w:rFonts w:cs="Arial"/>
          <w:color w:val="000000"/>
          <w:sz w:val="22"/>
          <w:szCs w:val="22"/>
          <w:shd w:val="clear" w:color="auto" w:fill="FFFFFF"/>
        </w:rPr>
        <w:t xml:space="preserve"> at the 2021 Census and include caravans, cabins, houseboats, improvised dwellings and flats attached to shops or offices.  Census data shows </w:t>
      </w:r>
      <w:r w:rsidR="00674CB5">
        <w:rPr>
          <w:rFonts w:cs="Arial"/>
          <w:color w:val="000000"/>
          <w:sz w:val="22"/>
          <w:szCs w:val="22"/>
          <w:shd w:val="clear" w:color="auto" w:fill="FFFFFF"/>
        </w:rPr>
        <w:t>6</w:t>
      </w:r>
      <w:r>
        <w:rPr>
          <w:rFonts w:cs="Arial"/>
          <w:color w:val="000000"/>
          <w:sz w:val="22"/>
          <w:szCs w:val="22"/>
          <w:shd w:val="clear" w:color="auto" w:fill="FFFFFF"/>
        </w:rPr>
        <w:t xml:space="preserve">8 households living in caravans, 5 living in cabins or houseboats, </w:t>
      </w:r>
      <w:r w:rsidR="00674CB5">
        <w:rPr>
          <w:rFonts w:cs="Arial"/>
          <w:color w:val="000000"/>
          <w:sz w:val="22"/>
          <w:szCs w:val="22"/>
          <w:shd w:val="clear" w:color="auto" w:fill="FFFFFF"/>
        </w:rPr>
        <w:t>4</w:t>
      </w:r>
      <w:r>
        <w:rPr>
          <w:rFonts w:cs="Arial"/>
          <w:color w:val="000000"/>
          <w:sz w:val="22"/>
          <w:szCs w:val="22"/>
          <w:shd w:val="clear" w:color="auto" w:fill="FFFFFF"/>
        </w:rPr>
        <w:t xml:space="preserve"> living in improvised dwellings and </w:t>
      </w:r>
      <w:r w:rsidR="00674CB5">
        <w:rPr>
          <w:rFonts w:cs="Arial"/>
          <w:color w:val="000000"/>
          <w:sz w:val="22"/>
          <w:szCs w:val="22"/>
          <w:shd w:val="clear" w:color="auto" w:fill="FFFFFF"/>
        </w:rPr>
        <w:t>3,640</w:t>
      </w:r>
      <w:r>
        <w:rPr>
          <w:rFonts w:cs="Arial"/>
          <w:color w:val="000000"/>
          <w:sz w:val="22"/>
          <w:szCs w:val="22"/>
          <w:shd w:val="clear" w:color="auto" w:fill="FFFFFF"/>
        </w:rPr>
        <w:t xml:space="preserve"> in flats attached to shops or offices in </w:t>
      </w:r>
      <w:r w:rsidR="00674CB5">
        <w:rPr>
          <w:rFonts w:cs="Arial"/>
          <w:color w:val="000000"/>
          <w:sz w:val="22"/>
          <w:szCs w:val="22"/>
          <w:shd w:val="clear" w:color="auto" w:fill="FFFFFF"/>
        </w:rPr>
        <w:t>Eastern City</w:t>
      </w:r>
      <w:r>
        <w:rPr>
          <w:rFonts w:cs="Arial"/>
          <w:color w:val="000000"/>
          <w:sz w:val="22"/>
          <w:szCs w:val="22"/>
          <w:shd w:val="clear" w:color="auto" w:fill="FFFFFF"/>
        </w:rPr>
        <w:t xml:space="preserve">.  </w:t>
      </w:r>
    </w:p>
    <w:p w14:paraId="68BF01A7" w14:textId="77777777" w:rsidR="00FC4751" w:rsidRPr="00FC4751" w:rsidRDefault="00FC4751" w:rsidP="00FC4751">
      <w:pPr>
        <w:spacing w:before="0" w:line="259" w:lineRule="auto"/>
        <w:rPr>
          <w:sz w:val="22"/>
          <w:szCs w:val="22"/>
          <w:lang w:val="en-US"/>
        </w:rPr>
      </w:pPr>
    </w:p>
    <w:p w14:paraId="02AF50FE" w14:textId="77777777" w:rsidR="004C408D" w:rsidRPr="00F75240" w:rsidRDefault="00573960" w:rsidP="009E24DC">
      <w:pPr>
        <w:pStyle w:val="Heading2"/>
      </w:pPr>
      <w:r w:rsidRPr="00F75240">
        <w:t>Bedroom Mix</w:t>
      </w:r>
    </w:p>
    <w:p w14:paraId="1AC2D447" w14:textId="77777777" w:rsidR="00AA6E78" w:rsidRDefault="00AA6E78" w:rsidP="00F75240">
      <w:pPr>
        <w:numPr>
          <w:ilvl w:val="0"/>
          <w:numId w:val="6"/>
        </w:numPr>
        <w:spacing w:before="0" w:after="0"/>
        <w:rPr>
          <w:sz w:val="22"/>
          <w:szCs w:val="22"/>
        </w:rPr>
      </w:pPr>
      <w:r>
        <w:rPr>
          <w:sz w:val="22"/>
          <w:szCs w:val="22"/>
        </w:rPr>
        <w:t>Eastern</w:t>
      </w:r>
      <w:r w:rsidR="00F75240">
        <w:rPr>
          <w:sz w:val="22"/>
          <w:szCs w:val="22"/>
        </w:rPr>
        <w:t xml:space="preserve"> City also has </w:t>
      </w:r>
      <w:r>
        <w:rPr>
          <w:sz w:val="22"/>
          <w:szCs w:val="22"/>
        </w:rPr>
        <w:t>a very different bedroom mix to the average for Greater Sydney and the Rest of NSW, where three and four bedroom homes comprise the overwhelming majority of homes.</w:t>
      </w:r>
    </w:p>
    <w:p w14:paraId="3F565D85" w14:textId="77777777" w:rsidR="00AA6E78" w:rsidRDefault="00AA6E78" w:rsidP="00F75240">
      <w:pPr>
        <w:numPr>
          <w:ilvl w:val="0"/>
          <w:numId w:val="6"/>
        </w:numPr>
        <w:spacing w:before="0" w:after="0"/>
        <w:rPr>
          <w:sz w:val="22"/>
          <w:szCs w:val="22"/>
        </w:rPr>
      </w:pPr>
      <w:r>
        <w:rPr>
          <w:sz w:val="22"/>
          <w:szCs w:val="22"/>
        </w:rPr>
        <w:t>At the 2021 Census, Eastern City had 2.3% studio dwellings, 16.6% one bedroom homes, 40.1% two bedroom homes, 24.9% three bedroom homes and 14.9% four or more bedroom homes.</w:t>
      </w:r>
    </w:p>
    <w:p w14:paraId="6F4E8ADC" w14:textId="77777777" w:rsidR="00F75240" w:rsidRDefault="00F75240" w:rsidP="00F75240">
      <w:pPr>
        <w:numPr>
          <w:ilvl w:val="0"/>
          <w:numId w:val="6"/>
        </w:numPr>
        <w:spacing w:before="0" w:after="0"/>
        <w:rPr>
          <w:sz w:val="22"/>
          <w:szCs w:val="22"/>
        </w:rPr>
      </w:pPr>
      <w:r>
        <w:rPr>
          <w:sz w:val="22"/>
          <w:szCs w:val="22"/>
        </w:rPr>
        <w:t>This compares to 0.9% studios, 8.1% one bedroom</w:t>
      </w:r>
      <w:r w:rsidR="00AA6E78">
        <w:rPr>
          <w:sz w:val="22"/>
          <w:szCs w:val="22"/>
        </w:rPr>
        <w:t>,</w:t>
      </w:r>
      <w:r>
        <w:rPr>
          <w:sz w:val="22"/>
          <w:szCs w:val="22"/>
        </w:rPr>
        <w:t xml:space="preserve"> 25.9% two bedroom</w:t>
      </w:r>
      <w:r w:rsidR="00AA6E78">
        <w:rPr>
          <w:sz w:val="22"/>
          <w:szCs w:val="22"/>
        </w:rPr>
        <w:t>, 31.0% three bedroom and 32.8% four or more bedroom homes</w:t>
      </w:r>
      <w:r>
        <w:rPr>
          <w:sz w:val="22"/>
          <w:szCs w:val="22"/>
        </w:rPr>
        <w:t xml:space="preserve"> in Greater Sydney as a whole.  </w:t>
      </w:r>
    </w:p>
    <w:p w14:paraId="33320811" w14:textId="77777777" w:rsidR="00F75240" w:rsidRDefault="00F75240" w:rsidP="00F75240">
      <w:pPr>
        <w:numPr>
          <w:ilvl w:val="0"/>
          <w:numId w:val="6"/>
        </w:numPr>
        <w:spacing w:before="0" w:after="0"/>
        <w:rPr>
          <w:sz w:val="22"/>
          <w:szCs w:val="22"/>
        </w:rPr>
      </w:pPr>
      <w:r>
        <w:rPr>
          <w:sz w:val="22"/>
          <w:szCs w:val="22"/>
        </w:rPr>
        <w:t>Within the</w:t>
      </w:r>
      <w:r w:rsidR="00E90C5A">
        <w:rPr>
          <w:sz w:val="22"/>
          <w:szCs w:val="22"/>
        </w:rPr>
        <w:t xml:space="preserve"> District</w:t>
      </w:r>
      <w:r>
        <w:rPr>
          <w:sz w:val="22"/>
          <w:szCs w:val="22"/>
        </w:rPr>
        <w:t xml:space="preserve">, </w:t>
      </w:r>
    </w:p>
    <w:p w14:paraId="216C4E9E" w14:textId="77777777" w:rsidR="00F75240" w:rsidRDefault="00E90C5A" w:rsidP="00F75240">
      <w:pPr>
        <w:numPr>
          <w:ilvl w:val="1"/>
          <w:numId w:val="6"/>
        </w:numPr>
        <w:spacing w:before="0" w:after="0"/>
        <w:rPr>
          <w:sz w:val="22"/>
          <w:szCs w:val="22"/>
        </w:rPr>
      </w:pPr>
      <w:r>
        <w:rPr>
          <w:sz w:val="22"/>
          <w:szCs w:val="22"/>
        </w:rPr>
        <w:t>City of Sydney</w:t>
      </w:r>
      <w:r w:rsidR="00F75240">
        <w:rPr>
          <w:sz w:val="22"/>
          <w:szCs w:val="22"/>
        </w:rPr>
        <w:t xml:space="preserve"> has the highest proportion of studio dwellings with </w:t>
      </w:r>
      <w:r>
        <w:rPr>
          <w:sz w:val="22"/>
          <w:szCs w:val="22"/>
        </w:rPr>
        <w:t>5.4</w:t>
      </w:r>
      <w:r w:rsidR="00F75240">
        <w:rPr>
          <w:sz w:val="22"/>
          <w:szCs w:val="22"/>
        </w:rPr>
        <w:t xml:space="preserve">% and </w:t>
      </w:r>
      <w:r>
        <w:rPr>
          <w:sz w:val="22"/>
          <w:szCs w:val="22"/>
        </w:rPr>
        <w:t>Bayside</w:t>
      </w:r>
      <w:r w:rsidR="00F75240">
        <w:rPr>
          <w:sz w:val="22"/>
          <w:szCs w:val="22"/>
        </w:rPr>
        <w:t xml:space="preserve"> the lowest with 0.</w:t>
      </w:r>
      <w:r>
        <w:rPr>
          <w:sz w:val="22"/>
          <w:szCs w:val="22"/>
        </w:rPr>
        <w:t>5</w:t>
      </w:r>
      <w:r w:rsidR="00F75240">
        <w:rPr>
          <w:sz w:val="22"/>
          <w:szCs w:val="22"/>
        </w:rPr>
        <w:t xml:space="preserve">%; </w:t>
      </w:r>
    </w:p>
    <w:p w14:paraId="5310C017" w14:textId="77777777" w:rsidR="00F75240" w:rsidRDefault="00E90C5A" w:rsidP="00F75240">
      <w:pPr>
        <w:numPr>
          <w:ilvl w:val="1"/>
          <w:numId w:val="6"/>
        </w:numPr>
        <w:spacing w:before="0" w:after="0"/>
        <w:rPr>
          <w:sz w:val="22"/>
          <w:szCs w:val="22"/>
        </w:rPr>
      </w:pPr>
      <w:r>
        <w:rPr>
          <w:sz w:val="22"/>
          <w:szCs w:val="22"/>
        </w:rPr>
        <w:t>City of Sydney</w:t>
      </w:r>
      <w:r w:rsidR="00F75240">
        <w:rPr>
          <w:sz w:val="22"/>
          <w:szCs w:val="22"/>
        </w:rPr>
        <w:t xml:space="preserve"> has the highest proportion of one bedroom homes with </w:t>
      </w:r>
      <w:r>
        <w:rPr>
          <w:sz w:val="22"/>
          <w:szCs w:val="22"/>
        </w:rPr>
        <w:t>31.2</w:t>
      </w:r>
      <w:r w:rsidR="00F75240">
        <w:rPr>
          <w:sz w:val="22"/>
          <w:szCs w:val="22"/>
        </w:rPr>
        <w:t xml:space="preserve">% and </w:t>
      </w:r>
      <w:r>
        <w:rPr>
          <w:sz w:val="22"/>
          <w:szCs w:val="22"/>
        </w:rPr>
        <w:t>Canada Bay</w:t>
      </w:r>
      <w:r w:rsidR="00F75240">
        <w:rPr>
          <w:sz w:val="22"/>
          <w:szCs w:val="22"/>
        </w:rPr>
        <w:t xml:space="preserve"> the lowest with 9</w:t>
      </w:r>
      <w:r>
        <w:rPr>
          <w:sz w:val="22"/>
          <w:szCs w:val="22"/>
        </w:rPr>
        <w:t>.5</w:t>
      </w:r>
      <w:r w:rsidR="00F75240">
        <w:rPr>
          <w:sz w:val="22"/>
          <w:szCs w:val="22"/>
        </w:rPr>
        <w:t>%;</w:t>
      </w:r>
    </w:p>
    <w:p w14:paraId="44A61124" w14:textId="77777777" w:rsidR="00F75240" w:rsidRDefault="00E90C5A" w:rsidP="00F75240">
      <w:pPr>
        <w:numPr>
          <w:ilvl w:val="1"/>
          <w:numId w:val="6"/>
        </w:numPr>
        <w:spacing w:before="0" w:after="0"/>
        <w:rPr>
          <w:sz w:val="22"/>
          <w:szCs w:val="22"/>
        </w:rPr>
      </w:pPr>
      <w:r>
        <w:rPr>
          <w:sz w:val="22"/>
          <w:szCs w:val="22"/>
        </w:rPr>
        <w:t>Strathfield</w:t>
      </w:r>
      <w:r w:rsidR="00F75240">
        <w:rPr>
          <w:sz w:val="22"/>
          <w:szCs w:val="22"/>
        </w:rPr>
        <w:t xml:space="preserve"> has the highest proportion of two bedroom homes with </w:t>
      </w:r>
      <w:r>
        <w:rPr>
          <w:sz w:val="22"/>
          <w:szCs w:val="22"/>
        </w:rPr>
        <w:t>43.3</w:t>
      </w:r>
      <w:r w:rsidR="00F75240">
        <w:rPr>
          <w:sz w:val="22"/>
          <w:szCs w:val="22"/>
        </w:rPr>
        <w:t xml:space="preserve">% and </w:t>
      </w:r>
      <w:r>
        <w:rPr>
          <w:sz w:val="22"/>
          <w:szCs w:val="22"/>
        </w:rPr>
        <w:t>Woollahra</w:t>
      </w:r>
      <w:r w:rsidR="00F75240">
        <w:rPr>
          <w:sz w:val="22"/>
          <w:szCs w:val="22"/>
        </w:rPr>
        <w:t xml:space="preserve"> the lowest with </w:t>
      </w:r>
      <w:r>
        <w:rPr>
          <w:sz w:val="22"/>
          <w:szCs w:val="22"/>
        </w:rPr>
        <w:t>34.3</w:t>
      </w:r>
      <w:r w:rsidR="00F75240">
        <w:rPr>
          <w:sz w:val="22"/>
          <w:szCs w:val="22"/>
        </w:rPr>
        <w:t>%;</w:t>
      </w:r>
    </w:p>
    <w:p w14:paraId="31EC634D" w14:textId="77777777" w:rsidR="00F75240" w:rsidRDefault="00E90C5A" w:rsidP="00F75240">
      <w:pPr>
        <w:numPr>
          <w:ilvl w:val="1"/>
          <w:numId w:val="6"/>
        </w:numPr>
        <w:spacing w:before="0" w:after="0"/>
        <w:rPr>
          <w:sz w:val="22"/>
          <w:szCs w:val="22"/>
        </w:rPr>
      </w:pPr>
      <w:r>
        <w:rPr>
          <w:sz w:val="22"/>
          <w:szCs w:val="22"/>
        </w:rPr>
        <w:t>Canada Bay</w:t>
      </w:r>
      <w:r w:rsidR="00F75240">
        <w:rPr>
          <w:sz w:val="22"/>
          <w:szCs w:val="22"/>
        </w:rPr>
        <w:t xml:space="preserve"> has the highest proportion of three bedroom homes with 3</w:t>
      </w:r>
      <w:r>
        <w:rPr>
          <w:sz w:val="22"/>
          <w:szCs w:val="22"/>
        </w:rPr>
        <w:t>2.5</w:t>
      </w:r>
      <w:r w:rsidR="00F75240">
        <w:rPr>
          <w:sz w:val="22"/>
          <w:szCs w:val="22"/>
        </w:rPr>
        <w:t xml:space="preserve">% and </w:t>
      </w:r>
      <w:r>
        <w:rPr>
          <w:sz w:val="22"/>
          <w:szCs w:val="22"/>
        </w:rPr>
        <w:t>City of Sydney</w:t>
      </w:r>
      <w:r w:rsidR="00F75240">
        <w:rPr>
          <w:sz w:val="22"/>
          <w:szCs w:val="22"/>
        </w:rPr>
        <w:t xml:space="preserve"> the lowest with </w:t>
      </w:r>
      <w:r>
        <w:rPr>
          <w:sz w:val="22"/>
          <w:szCs w:val="22"/>
        </w:rPr>
        <w:t>15.3</w:t>
      </w:r>
      <w:r w:rsidR="00F75240">
        <w:rPr>
          <w:sz w:val="22"/>
          <w:szCs w:val="22"/>
        </w:rPr>
        <w:t xml:space="preserve">%; and </w:t>
      </w:r>
    </w:p>
    <w:p w14:paraId="54AA56EA" w14:textId="77777777" w:rsidR="00F75240" w:rsidRPr="00067212" w:rsidRDefault="006C5017" w:rsidP="00F75240">
      <w:pPr>
        <w:numPr>
          <w:ilvl w:val="1"/>
          <w:numId w:val="6"/>
        </w:numPr>
        <w:spacing w:before="0" w:after="0"/>
        <w:rPr>
          <w:sz w:val="22"/>
          <w:szCs w:val="22"/>
        </w:rPr>
      </w:pPr>
      <w:r>
        <w:rPr>
          <w:sz w:val="22"/>
          <w:szCs w:val="22"/>
        </w:rPr>
        <w:lastRenderedPageBreak/>
        <w:t>Strathfield</w:t>
      </w:r>
      <w:r w:rsidR="00F75240">
        <w:rPr>
          <w:sz w:val="22"/>
          <w:szCs w:val="22"/>
        </w:rPr>
        <w:t xml:space="preserve"> has the highest proportion of four or more bedroom homes with a </w:t>
      </w:r>
      <w:r>
        <w:rPr>
          <w:sz w:val="22"/>
          <w:szCs w:val="22"/>
        </w:rPr>
        <w:t>23.0</w:t>
      </w:r>
      <w:r w:rsidR="00F75240" w:rsidRPr="000F1155">
        <w:rPr>
          <w:sz w:val="22"/>
          <w:szCs w:val="22"/>
        </w:rPr>
        <w:t xml:space="preserve">% </w:t>
      </w:r>
      <w:r w:rsidR="00F75240">
        <w:rPr>
          <w:sz w:val="22"/>
          <w:szCs w:val="22"/>
        </w:rPr>
        <w:t xml:space="preserve">and </w:t>
      </w:r>
      <w:r>
        <w:rPr>
          <w:sz w:val="22"/>
          <w:szCs w:val="22"/>
        </w:rPr>
        <w:t>City of Sydney</w:t>
      </w:r>
      <w:r w:rsidR="00F75240">
        <w:rPr>
          <w:sz w:val="22"/>
          <w:szCs w:val="22"/>
        </w:rPr>
        <w:t xml:space="preserve"> the lowest with </w:t>
      </w:r>
      <w:r>
        <w:rPr>
          <w:sz w:val="22"/>
          <w:szCs w:val="22"/>
        </w:rPr>
        <w:t>4.7</w:t>
      </w:r>
      <w:r w:rsidR="00F75240">
        <w:rPr>
          <w:sz w:val="22"/>
          <w:szCs w:val="22"/>
        </w:rPr>
        <w:t>%.</w:t>
      </w:r>
    </w:p>
    <w:p w14:paraId="25D535F6" w14:textId="77777777" w:rsidR="00F75240" w:rsidRDefault="00F75240" w:rsidP="00F75240">
      <w:pPr>
        <w:numPr>
          <w:ilvl w:val="0"/>
          <w:numId w:val="6"/>
        </w:numPr>
        <w:spacing w:before="0" w:after="0"/>
        <w:rPr>
          <w:sz w:val="22"/>
          <w:szCs w:val="22"/>
        </w:rPr>
      </w:pPr>
      <w:r w:rsidRPr="002478C2">
        <w:rPr>
          <w:sz w:val="22"/>
          <w:szCs w:val="22"/>
        </w:rPr>
        <w:t xml:space="preserve">The graph </w:t>
      </w:r>
      <w:r>
        <w:rPr>
          <w:sz w:val="22"/>
          <w:szCs w:val="22"/>
        </w:rPr>
        <w:t xml:space="preserve">and table </w:t>
      </w:r>
      <w:r w:rsidRPr="002478C2">
        <w:rPr>
          <w:sz w:val="22"/>
          <w:szCs w:val="22"/>
        </w:rPr>
        <w:t xml:space="preserve">below show the proportion of studio, one, two, three and four or more bedroom occupied dwellings in </w:t>
      </w:r>
      <w:r w:rsidR="006C5017">
        <w:rPr>
          <w:sz w:val="22"/>
          <w:szCs w:val="22"/>
        </w:rPr>
        <w:t>Eastern</w:t>
      </w:r>
      <w:r>
        <w:rPr>
          <w:sz w:val="22"/>
          <w:szCs w:val="22"/>
        </w:rPr>
        <w:t xml:space="preserve"> City</w:t>
      </w:r>
      <w:r w:rsidRPr="002478C2">
        <w:rPr>
          <w:sz w:val="22"/>
          <w:szCs w:val="22"/>
        </w:rPr>
        <w:t xml:space="preserve"> </w:t>
      </w:r>
      <w:r w:rsidR="003F76FB">
        <w:rPr>
          <w:sz w:val="22"/>
          <w:szCs w:val="22"/>
        </w:rPr>
        <w:t xml:space="preserve">compared with Greater Sydney </w:t>
      </w:r>
      <w:r w:rsidRPr="002478C2">
        <w:rPr>
          <w:sz w:val="22"/>
          <w:szCs w:val="22"/>
        </w:rPr>
        <w:t>at the 20</w:t>
      </w:r>
      <w:r>
        <w:rPr>
          <w:sz w:val="22"/>
          <w:szCs w:val="22"/>
        </w:rPr>
        <w:t>21</w:t>
      </w:r>
      <w:r w:rsidRPr="002478C2">
        <w:rPr>
          <w:sz w:val="22"/>
          <w:szCs w:val="22"/>
        </w:rPr>
        <w:t xml:space="preserve"> Census.</w:t>
      </w:r>
    </w:p>
    <w:p w14:paraId="0263371F" w14:textId="77777777" w:rsidR="00F75240" w:rsidRDefault="00F75240" w:rsidP="00F75240">
      <w:pPr>
        <w:rPr>
          <w:sz w:val="22"/>
        </w:rPr>
      </w:pPr>
      <w:r>
        <w:rPr>
          <w:noProof/>
          <w:sz w:val="22"/>
        </w:rPr>
        <w:drawing>
          <wp:inline distT="0" distB="0" distL="0" distR="0" wp14:anchorId="45186BB9" wp14:editId="54E96F46">
            <wp:extent cx="6108700" cy="364553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8700" cy="3645535"/>
                    </a:xfrm>
                    <a:prstGeom prst="rect">
                      <a:avLst/>
                    </a:prstGeom>
                    <a:noFill/>
                  </pic:spPr>
                </pic:pic>
              </a:graphicData>
            </a:graphic>
          </wp:inline>
        </w:drawing>
      </w:r>
    </w:p>
    <w:p w14:paraId="33466353" w14:textId="77777777" w:rsidR="00F75240" w:rsidRDefault="00F75240" w:rsidP="00F75240">
      <w:pPr>
        <w:rPr>
          <w:sz w:val="22"/>
        </w:rPr>
      </w:pPr>
    </w:p>
    <w:p w14:paraId="2E5D3070" w14:textId="77777777" w:rsidR="00F75240" w:rsidRDefault="00F75240" w:rsidP="00F75240">
      <w:pPr>
        <w:rPr>
          <w:sz w:val="22"/>
        </w:rPr>
      </w:pPr>
      <w:r w:rsidRPr="00F75240">
        <w:rPr>
          <w:noProof/>
        </w:rPr>
        <w:drawing>
          <wp:inline distT="0" distB="0" distL="0" distR="0" wp14:anchorId="1A5EACD2" wp14:editId="3D18A657">
            <wp:extent cx="5381625" cy="2676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2676525"/>
                    </a:xfrm>
                    <a:prstGeom prst="rect">
                      <a:avLst/>
                    </a:prstGeom>
                    <a:noFill/>
                    <a:ln>
                      <a:noFill/>
                    </a:ln>
                  </pic:spPr>
                </pic:pic>
              </a:graphicData>
            </a:graphic>
          </wp:inline>
        </w:drawing>
      </w:r>
    </w:p>
    <w:p w14:paraId="4817F587" w14:textId="77777777" w:rsidR="00F75240" w:rsidRPr="005A2C8F" w:rsidRDefault="00F75240" w:rsidP="00F75240">
      <w:pPr>
        <w:spacing w:before="0" w:after="0"/>
        <w:ind w:left="360"/>
        <w:rPr>
          <w:sz w:val="22"/>
          <w:szCs w:val="22"/>
        </w:rPr>
      </w:pPr>
    </w:p>
    <w:p w14:paraId="5A3328C3" w14:textId="77777777" w:rsidR="00F75240" w:rsidRDefault="00F75240" w:rsidP="006C5017">
      <w:pPr>
        <w:numPr>
          <w:ilvl w:val="0"/>
          <w:numId w:val="19"/>
        </w:numPr>
        <w:spacing w:before="0" w:after="0"/>
        <w:rPr>
          <w:sz w:val="22"/>
          <w:szCs w:val="22"/>
        </w:rPr>
      </w:pPr>
      <w:r w:rsidRPr="005A2C8F">
        <w:rPr>
          <w:sz w:val="22"/>
          <w:szCs w:val="22"/>
        </w:rPr>
        <w:t xml:space="preserve">The forecast increase in older age groups in </w:t>
      </w:r>
      <w:r w:rsidR="006C5017">
        <w:rPr>
          <w:sz w:val="22"/>
          <w:szCs w:val="22"/>
        </w:rPr>
        <w:t>Eastern</w:t>
      </w:r>
      <w:r>
        <w:rPr>
          <w:sz w:val="22"/>
          <w:szCs w:val="22"/>
        </w:rPr>
        <w:t xml:space="preserve"> City</w:t>
      </w:r>
      <w:r w:rsidRPr="005A2C8F">
        <w:rPr>
          <w:sz w:val="22"/>
          <w:szCs w:val="22"/>
        </w:rPr>
        <w:t xml:space="preserve"> is likely to increase the demand for smaller, more manageable and affordable homes.</w:t>
      </w:r>
      <w:r w:rsidR="006C5017">
        <w:rPr>
          <w:sz w:val="22"/>
          <w:szCs w:val="22"/>
        </w:rPr>
        <w:t xml:space="preserve"> </w:t>
      </w:r>
      <w:r w:rsidRPr="006C5017">
        <w:rPr>
          <w:sz w:val="22"/>
          <w:szCs w:val="22"/>
        </w:rPr>
        <w:t xml:space="preserve">Two bedroom dwellings in </w:t>
      </w:r>
      <w:r w:rsidRPr="006C5017">
        <w:rPr>
          <w:sz w:val="22"/>
          <w:szCs w:val="22"/>
        </w:rPr>
        <w:lastRenderedPageBreak/>
        <w:t>particular offer the most flexibility, given they are also suitable for small families and allow older residents to have family members or carers to stay while giving them a more manageable size home to maintain.  Providing choice in the number of bedrooms enables them to downsize and stay in their community and more broadly may help with affordability.</w:t>
      </w:r>
    </w:p>
    <w:p w14:paraId="77AFB02E" w14:textId="77777777" w:rsidR="006C5017" w:rsidRDefault="006C5017" w:rsidP="006C5017">
      <w:pPr>
        <w:numPr>
          <w:ilvl w:val="0"/>
          <w:numId w:val="19"/>
        </w:numPr>
        <w:spacing w:before="0" w:after="0"/>
        <w:rPr>
          <w:sz w:val="22"/>
          <w:szCs w:val="22"/>
        </w:rPr>
      </w:pPr>
      <w:r>
        <w:rPr>
          <w:sz w:val="22"/>
          <w:szCs w:val="22"/>
        </w:rPr>
        <w:t>While there is a significant proportion of one and two bedroom homes in Eastern City, affordability is an issue and ensuring accessibility for older residents is important.</w:t>
      </w:r>
    </w:p>
    <w:p w14:paraId="2A06D1C5" w14:textId="77777777" w:rsidR="006C5017" w:rsidRDefault="0089083D" w:rsidP="00924214">
      <w:pPr>
        <w:numPr>
          <w:ilvl w:val="0"/>
          <w:numId w:val="6"/>
        </w:numPr>
        <w:spacing w:before="0" w:after="0"/>
        <w:rPr>
          <w:sz w:val="22"/>
          <w:szCs w:val="22"/>
        </w:rPr>
      </w:pPr>
      <w:r w:rsidRPr="006C5017">
        <w:rPr>
          <w:sz w:val="22"/>
          <w:szCs w:val="22"/>
        </w:rPr>
        <w:t>Note that new dwelling stock generally represents 1 – 2% of the total dwelling stock while established dwellings represent the remaining 98 – 99% of stock – so alterations and additions to existing stock has a significant impact on bedroom mix.</w:t>
      </w:r>
    </w:p>
    <w:p w14:paraId="62AA2C2F" w14:textId="77777777" w:rsidR="006C5017" w:rsidRDefault="0089083D" w:rsidP="00444C97">
      <w:pPr>
        <w:numPr>
          <w:ilvl w:val="0"/>
          <w:numId w:val="6"/>
        </w:numPr>
        <w:spacing w:before="0" w:after="0"/>
        <w:rPr>
          <w:sz w:val="22"/>
          <w:szCs w:val="22"/>
        </w:rPr>
      </w:pPr>
      <w:r w:rsidRPr="006C5017">
        <w:rPr>
          <w:sz w:val="22"/>
          <w:szCs w:val="22"/>
        </w:rPr>
        <w:t xml:space="preserve">When considering </w:t>
      </w:r>
      <w:r w:rsidR="00094C2C" w:rsidRPr="006C5017">
        <w:rPr>
          <w:sz w:val="22"/>
          <w:szCs w:val="22"/>
        </w:rPr>
        <w:t>the fit of housing stock to household type into the future, this is an important consideration.</w:t>
      </w:r>
    </w:p>
    <w:p w14:paraId="356DFB10" w14:textId="77777777" w:rsidR="00BA42DA" w:rsidRPr="006C5017" w:rsidRDefault="00BA42DA" w:rsidP="006C5017">
      <w:pPr>
        <w:spacing w:before="0" w:after="0"/>
        <w:ind w:left="360"/>
        <w:rPr>
          <w:sz w:val="22"/>
          <w:szCs w:val="22"/>
        </w:rPr>
      </w:pPr>
      <w:r w:rsidRPr="006C5017">
        <w:rPr>
          <w:sz w:val="22"/>
          <w:szCs w:val="22"/>
        </w:rPr>
        <w:t xml:space="preserve"> </w:t>
      </w:r>
    </w:p>
    <w:p w14:paraId="2F0D8407" w14:textId="77777777" w:rsidR="00E04982" w:rsidRDefault="00E04982" w:rsidP="009E24DC">
      <w:pPr>
        <w:pStyle w:val="Heading2"/>
      </w:pPr>
    </w:p>
    <w:p w14:paraId="10F0C6F0" w14:textId="333FBB9F" w:rsidR="00764767" w:rsidRPr="00297C13" w:rsidRDefault="00573960" w:rsidP="009E24DC">
      <w:pPr>
        <w:pStyle w:val="Heading2"/>
      </w:pPr>
      <w:r w:rsidRPr="00297C13">
        <w:t>Tenure</w:t>
      </w:r>
    </w:p>
    <w:p w14:paraId="000CAF85" w14:textId="77777777" w:rsidR="00297C13" w:rsidRDefault="00297C13" w:rsidP="00297C13">
      <w:pPr>
        <w:numPr>
          <w:ilvl w:val="0"/>
          <w:numId w:val="7"/>
        </w:numPr>
        <w:spacing w:before="0" w:after="0"/>
        <w:rPr>
          <w:sz w:val="22"/>
          <w:szCs w:val="22"/>
        </w:rPr>
      </w:pPr>
      <w:r>
        <w:rPr>
          <w:sz w:val="22"/>
          <w:szCs w:val="22"/>
        </w:rPr>
        <w:t xml:space="preserve">At the 2021 Census, the most common tenure type in the Eastern City District was rental (unlike other districts in the city, where purchasing is the largest tenure type, or regional NSW where outright ownership is the most common tenure) – comprising 49.8% of all households.  Within the district this ranged from 65.8% in City of Sydney to 38.2% in Woollahra. </w:t>
      </w:r>
    </w:p>
    <w:p w14:paraId="01B63BFD" w14:textId="77777777" w:rsidR="00297C13" w:rsidRDefault="00297C13" w:rsidP="00297C13">
      <w:pPr>
        <w:numPr>
          <w:ilvl w:val="0"/>
          <w:numId w:val="7"/>
        </w:numPr>
        <w:spacing w:before="0" w:after="0"/>
        <w:rPr>
          <w:sz w:val="22"/>
          <w:szCs w:val="22"/>
        </w:rPr>
      </w:pPr>
      <w:r>
        <w:rPr>
          <w:sz w:val="22"/>
          <w:szCs w:val="22"/>
        </w:rPr>
        <w:t xml:space="preserve">Households renting from a real estate agent comprise </w:t>
      </w:r>
      <w:r w:rsidR="0076356A">
        <w:rPr>
          <w:sz w:val="22"/>
          <w:szCs w:val="22"/>
        </w:rPr>
        <w:t>38.5</w:t>
      </w:r>
      <w:r>
        <w:rPr>
          <w:sz w:val="22"/>
          <w:szCs w:val="22"/>
        </w:rPr>
        <w:t xml:space="preserve">% of all households in the </w:t>
      </w:r>
      <w:r w:rsidR="0076356A">
        <w:rPr>
          <w:sz w:val="22"/>
          <w:szCs w:val="22"/>
        </w:rPr>
        <w:t>Eastern City</w:t>
      </w:r>
      <w:r>
        <w:rPr>
          <w:sz w:val="22"/>
          <w:szCs w:val="22"/>
        </w:rPr>
        <w:t xml:space="preserve"> – with </w:t>
      </w:r>
      <w:r w:rsidR="0076356A">
        <w:rPr>
          <w:sz w:val="22"/>
          <w:szCs w:val="22"/>
        </w:rPr>
        <w:t>City of Sydney</w:t>
      </w:r>
      <w:r>
        <w:rPr>
          <w:sz w:val="22"/>
          <w:szCs w:val="22"/>
        </w:rPr>
        <w:t xml:space="preserve"> having the highest proportion at </w:t>
      </w:r>
      <w:r w:rsidR="0076356A">
        <w:rPr>
          <w:sz w:val="22"/>
          <w:szCs w:val="22"/>
        </w:rPr>
        <w:t>50.1</w:t>
      </w:r>
      <w:r>
        <w:rPr>
          <w:sz w:val="22"/>
          <w:szCs w:val="22"/>
        </w:rPr>
        <w:t xml:space="preserve">% and </w:t>
      </w:r>
      <w:r w:rsidR="0076356A">
        <w:rPr>
          <w:sz w:val="22"/>
          <w:szCs w:val="22"/>
        </w:rPr>
        <w:t>Woollahra</w:t>
      </w:r>
      <w:r>
        <w:rPr>
          <w:sz w:val="22"/>
          <w:szCs w:val="22"/>
        </w:rPr>
        <w:t xml:space="preserve"> the lowest with </w:t>
      </w:r>
      <w:r w:rsidR="0076356A">
        <w:rPr>
          <w:sz w:val="22"/>
          <w:szCs w:val="22"/>
        </w:rPr>
        <w:t>30.6</w:t>
      </w:r>
      <w:r>
        <w:rPr>
          <w:sz w:val="22"/>
          <w:szCs w:val="22"/>
        </w:rPr>
        <w:t>% of households renting though a real estate agent.</w:t>
      </w:r>
    </w:p>
    <w:p w14:paraId="47281501" w14:textId="77777777" w:rsidR="00297C13" w:rsidRDefault="00297C13" w:rsidP="00297C13">
      <w:pPr>
        <w:numPr>
          <w:ilvl w:val="0"/>
          <w:numId w:val="7"/>
        </w:numPr>
        <w:spacing w:before="0" w:after="0"/>
        <w:rPr>
          <w:sz w:val="22"/>
          <w:szCs w:val="22"/>
        </w:rPr>
      </w:pPr>
      <w:r>
        <w:rPr>
          <w:sz w:val="22"/>
          <w:szCs w:val="22"/>
        </w:rPr>
        <w:t>The remainder of rental households are comprised of households renting from the state housing authority (3.</w:t>
      </w:r>
      <w:r w:rsidR="0076356A">
        <w:rPr>
          <w:sz w:val="22"/>
          <w:szCs w:val="22"/>
        </w:rPr>
        <w:t>5</w:t>
      </w:r>
      <w:r>
        <w:rPr>
          <w:sz w:val="22"/>
          <w:szCs w:val="22"/>
        </w:rPr>
        <w:t xml:space="preserve">% in the </w:t>
      </w:r>
      <w:r w:rsidR="009F55B3">
        <w:rPr>
          <w:sz w:val="22"/>
          <w:szCs w:val="22"/>
        </w:rPr>
        <w:t>district</w:t>
      </w:r>
      <w:r>
        <w:rPr>
          <w:sz w:val="22"/>
          <w:szCs w:val="22"/>
        </w:rPr>
        <w:t>), community housing providers (</w:t>
      </w:r>
      <w:r w:rsidR="0076356A">
        <w:rPr>
          <w:sz w:val="22"/>
          <w:szCs w:val="22"/>
        </w:rPr>
        <w:t>0.9</w:t>
      </w:r>
      <w:r>
        <w:rPr>
          <w:sz w:val="22"/>
          <w:szCs w:val="22"/>
        </w:rPr>
        <w:t>%) and other landlords (6.</w:t>
      </w:r>
      <w:r w:rsidR="0076356A">
        <w:rPr>
          <w:sz w:val="22"/>
          <w:szCs w:val="22"/>
        </w:rPr>
        <w:t>0</w:t>
      </w:r>
      <w:r>
        <w:rPr>
          <w:sz w:val="22"/>
          <w:szCs w:val="22"/>
        </w:rPr>
        <w:t>%).</w:t>
      </w:r>
    </w:p>
    <w:p w14:paraId="67BAA26B" w14:textId="77777777" w:rsidR="0076356A" w:rsidRDefault="0076356A" w:rsidP="0076356A">
      <w:pPr>
        <w:numPr>
          <w:ilvl w:val="0"/>
          <w:numId w:val="7"/>
        </w:numPr>
        <w:spacing w:before="0" w:after="0"/>
        <w:rPr>
          <w:sz w:val="22"/>
          <w:szCs w:val="22"/>
        </w:rPr>
      </w:pPr>
      <w:r>
        <w:rPr>
          <w:sz w:val="22"/>
          <w:szCs w:val="22"/>
        </w:rPr>
        <w:t>The next largest tenure type was households with a mortgage – comprising 25.5% of all households.  The proportion in this tenure ranged from 29.7% in Strathfield to 19.5% in City of Sydney, within the district.</w:t>
      </w:r>
    </w:p>
    <w:p w14:paraId="7DF5CF70" w14:textId="77777777" w:rsidR="00297C13" w:rsidRDefault="0076356A" w:rsidP="00297C13">
      <w:pPr>
        <w:numPr>
          <w:ilvl w:val="0"/>
          <w:numId w:val="7"/>
        </w:numPr>
        <w:spacing w:before="0" w:after="0"/>
        <w:rPr>
          <w:sz w:val="22"/>
          <w:szCs w:val="22"/>
        </w:rPr>
      </w:pPr>
      <w:r>
        <w:rPr>
          <w:sz w:val="22"/>
          <w:szCs w:val="22"/>
        </w:rPr>
        <w:t>H</w:t>
      </w:r>
      <w:r w:rsidR="00297C13">
        <w:rPr>
          <w:sz w:val="22"/>
          <w:szCs w:val="22"/>
        </w:rPr>
        <w:t>ouseholds owning their home outright compris</w:t>
      </w:r>
      <w:r>
        <w:rPr>
          <w:sz w:val="22"/>
          <w:szCs w:val="22"/>
        </w:rPr>
        <w:t>e</w:t>
      </w:r>
      <w:r w:rsidR="00297C13">
        <w:rPr>
          <w:sz w:val="22"/>
          <w:szCs w:val="22"/>
        </w:rPr>
        <w:t xml:space="preserve"> </w:t>
      </w:r>
      <w:r>
        <w:rPr>
          <w:sz w:val="22"/>
          <w:szCs w:val="22"/>
        </w:rPr>
        <w:t>24.2</w:t>
      </w:r>
      <w:r w:rsidR="00297C13">
        <w:rPr>
          <w:sz w:val="22"/>
          <w:szCs w:val="22"/>
        </w:rPr>
        <w:t>% of all households</w:t>
      </w:r>
      <w:r>
        <w:rPr>
          <w:sz w:val="22"/>
          <w:szCs w:val="22"/>
        </w:rPr>
        <w:t xml:space="preserve"> in Eastern City</w:t>
      </w:r>
      <w:r w:rsidR="00297C13">
        <w:rPr>
          <w:sz w:val="22"/>
          <w:szCs w:val="22"/>
        </w:rPr>
        <w:t xml:space="preserve">.  Within the </w:t>
      </w:r>
      <w:r>
        <w:rPr>
          <w:sz w:val="22"/>
          <w:szCs w:val="22"/>
        </w:rPr>
        <w:t>district</w:t>
      </w:r>
      <w:r w:rsidR="00297C13">
        <w:rPr>
          <w:sz w:val="22"/>
          <w:szCs w:val="22"/>
        </w:rPr>
        <w:t xml:space="preserve"> this ranged from </w:t>
      </w:r>
      <w:r>
        <w:rPr>
          <w:sz w:val="22"/>
          <w:szCs w:val="22"/>
        </w:rPr>
        <w:t>36.5</w:t>
      </w:r>
      <w:r w:rsidR="00297C13">
        <w:rPr>
          <w:sz w:val="22"/>
          <w:szCs w:val="22"/>
        </w:rPr>
        <w:t xml:space="preserve">% in </w:t>
      </w:r>
      <w:r>
        <w:rPr>
          <w:sz w:val="22"/>
          <w:szCs w:val="22"/>
        </w:rPr>
        <w:t>Woollahra</w:t>
      </w:r>
      <w:r w:rsidR="00297C13">
        <w:rPr>
          <w:sz w:val="22"/>
          <w:szCs w:val="22"/>
        </w:rPr>
        <w:t xml:space="preserve"> to </w:t>
      </w:r>
      <w:r>
        <w:rPr>
          <w:sz w:val="22"/>
          <w:szCs w:val="22"/>
        </w:rPr>
        <w:t>14.4</w:t>
      </w:r>
      <w:r w:rsidR="00297C13">
        <w:rPr>
          <w:sz w:val="22"/>
          <w:szCs w:val="22"/>
        </w:rPr>
        <w:t xml:space="preserve">% in </w:t>
      </w:r>
      <w:r>
        <w:rPr>
          <w:sz w:val="22"/>
          <w:szCs w:val="22"/>
        </w:rPr>
        <w:t>City of Sydney</w:t>
      </w:r>
      <w:r w:rsidR="00297C13">
        <w:rPr>
          <w:sz w:val="22"/>
          <w:szCs w:val="22"/>
        </w:rPr>
        <w:t>.</w:t>
      </w:r>
    </w:p>
    <w:p w14:paraId="5A240375" w14:textId="77777777" w:rsidR="00297C13" w:rsidRDefault="00297C13" w:rsidP="00297C13">
      <w:pPr>
        <w:numPr>
          <w:ilvl w:val="0"/>
          <w:numId w:val="7"/>
        </w:numPr>
        <w:spacing w:before="0" w:after="0"/>
        <w:rPr>
          <w:sz w:val="22"/>
          <w:szCs w:val="22"/>
        </w:rPr>
      </w:pPr>
      <w:r>
        <w:rPr>
          <w:sz w:val="22"/>
          <w:szCs w:val="22"/>
        </w:rPr>
        <w:t xml:space="preserve">The graph and table below give the tenure composition for the </w:t>
      </w:r>
      <w:r w:rsidR="0098268D">
        <w:rPr>
          <w:sz w:val="22"/>
          <w:szCs w:val="22"/>
        </w:rPr>
        <w:t>district</w:t>
      </w:r>
      <w:r>
        <w:rPr>
          <w:sz w:val="22"/>
          <w:szCs w:val="22"/>
        </w:rPr>
        <w:t xml:space="preserve"> and individual LGAs at the 2021 Census.</w:t>
      </w:r>
    </w:p>
    <w:p w14:paraId="32A57E70" w14:textId="77777777" w:rsidR="00297C13" w:rsidRDefault="00297C13" w:rsidP="00297C13">
      <w:pPr>
        <w:rPr>
          <w:sz w:val="22"/>
          <w:szCs w:val="22"/>
        </w:rPr>
      </w:pPr>
    </w:p>
    <w:p w14:paraId="11F06DD9" w14:textId="77777777" w:rsidR="00297C13" w:rsidRDefault="00297C13" w:rsidP="00297C13">
      <w:pPr>
        <w:rPr>
          <w:sz w:val="22"/>
          <w:szCs w:val="22"/>
        </w:rPr>
      </w:pPr>
      <w:r>
        <w:rPr>
          <w:noProof/>
          <w:sz w:val="22"/>
          <w:szCs w:val="22"/>
        </w:rPr>
        <w:lastRenderedPageBreak/>
        <w:drawing>
          <wp:inline distT="0" distB="0" distL="0" distR="0" wp14:anchorId="75B23E54" wp14:editId="520E1DD7">
            <wp:extent cx="6313170" cy="34557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9926" cy="3459428"/>
                    </a:xfrm>
                    <a:prstGeom prst="rect">
                      <a:avLst/>
                    </a:prstGeom>
                    <a:noFill/>
                  </pic:spPr>
                </pic:pic>
              </a:graphicData>
            </a:graphic>
          </wp:inline>
        </w:drawing>
      </w:r>
    </w:p>
    <w:p w14:paraId="4FB2EB88" w14:textId="77777777" w:rsidR="00297C13" w:rsidRDefault="00297C13" w:rsidP="00297C13">
      <w:pPr>
        <w:rPr>
          <w:sz w:val="22"/>
          <w:szCs w:val="22"/>
        </w:rPr>
      </w:pPr>
    </w:p>
    <w:p w14:paraId="1E02A81C" w14:textId="77777777" w:rsidR="00297C13" w:rsidRDefault="00297C13" w:rsidP="00297C13">
      <w:pPr>
        <w:rPr>
          <w:sz w:val="22"/>
          <w:szCs w:val="22"/>
        </w:rPr>
      </w:pPr>
      <w:r w:rsidRPr="00297C13">
        <w:rPr>
          <w:noProof/>
        </w:rPr>
        <w:drawing>
          <wp:inline distT="0" distB="0" distL="0" distR="0" wp14:anchorId="029BAEBB" wp14:editId="298AE572">
            <wp:extent cx="6235656" cy="2667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3225" cy="2670237"/>
                    </a:xfrm>
                    <a:prstGeom prst="rect">
                      <a:avLst/>
                    </a:prstGeom>
                    <a:noFill/>
                    <a:ln>
                      <a:noFill/>
                    </a:ln>
                  </pic:spPr>
                </pic:pic>
              </a:graphicData>
            </a:graphic>
          </wp:inline>
        </w:drawing>
      </w:r>
    </w:p>
    <w:p w14:paraId="66F7FCA2" w14:textId="77777777" w:rsidR="00297C13" w:rsidRDefault="00297C13" w:rsidP="00297C13">
      <w:pPr>
        <w:rPr>
          <w:sz w:val="22"/>
          <w:szCs w:val="22"/>
        </w:rPr>
      </w:pPr>
    </w:p>
    <w:p w14:paraId="52A3B11C" w14:textId="77777777" w:rsidR="009F55B3" w:rsidRDefault="00297C13" w:rsidP="0073550F">
      <w:pPr>
        <w:numPr>
          <w:ilvl w:val="0"/>
          <w:numId w:val="12"/>
        </w:numPr>
        <w:spacing w:before="0" w:after="0"/>
        <w:rPr>
          <w:sz w:val="22"/>
          <w:szCs w:val="22"/>
        </w:rPr>
      </w:pPr>
      <w:r w:rsidRPr="009F55B3">
        <w:rPr>
          <w:sz w:val="22"/>
          <w:szCs w:val="22"/>
        </w:rPr>
        <w:t xml:space="preserve">The general trend is for increasing numbers of households relying on the private rental market as a long term tenure rather than a transitional one between leaving home and buying a home, as housing costs have increased much faster than wages.   </w:t>
      </w:r>
    </w:p>
    <w:p w14:paraId="6CCE6C57" w14:textId="77777777" w:rsidR="00297C13" w:rsidRPr="009F55B3" w:rsidRDefault="00297C13" w:rsidP="0073550F">
      <w:pPr>
        <w:numPr>
          <w:ilvl w:val="0"/>
          <w:numId w:val="12"/>
        </w:numPr>
        <w:spacing w:before="0" w:after="0"/>
        <w:rPr>
          <w:sz w:val="22"/>
          <w:szCs w:val="22"/>
        </w:rPr>
      </w:pPr>
      <w:r w:rsidRPr="009F55B3">
        <w:rPr>
          <w:sz w:val="22"/>
          <w:szCs w:val="22"/>
        </w:rPr>
        <w:t>Subsequent high interest rates and high inflation levels have made it increasingly difficult for lower income households in particular to manage housing costs.</w:t>
      </w:r>
    </w:p>
    <w:p w14:paraId="461F3865" w14:textId="077B32FF" w:rsidR="002D1F31" w:rsidRDefault="002D1F31" w:rsidP="005B0F0B">
      <w:pPr>
        <w:pStyle w:val="ListParagraph"/>
        <w:numPr>
          <w:ilvl w:val="0"/>
          <w:numId w:val="12"/>
        </w:numPr>
        <w:spacing w:before="0" w:after="0" w:line="259" w:lineRule="auto"/>
        <w:rPr>
          <w:sz w:val="22"/>
          <w:szCs w:val="22"/>
        </w:rPr>
      </w:pPr>
      <w:r w:rsidRPr="002D1F31">
        <w:rPr>
          <w:sz w:val="22"/>
          <w:szCs w:val="22"/>
          <w:lang w:val="en-US"/>
        </w:rPr>
        <w:t xml:space="preserve">Research suggests </w:t>
      </w:r>
      <w:r w:rsidRPr="002D1F31">
        <w:rPr>
          <w:sz w:val="22"/>
          <w:szCs w:val="22"/>
        </w:rPr>
        <w:t xml:space="preserve">the proliferation of Airbnb has resulted in a disruption in the long term housing market which provides an additional difficulty for long term renters to find </w:t>
      </w:r>
      <w:r w:rsidRPr="002D1F31">
        <w:rPr>
          <w:sz w:val="22"/>
          <w:szCs w:val="22"/>
        </w:rPr>
        <w:lastRenderedPageBreak/>
        <w:t>affordable rental housing</w:t>
      </w:r>
      <w:r w:rsidRPr="0060791E">
        <w:rPr>
          <w:rStyle w:val="FootnoteReference"/>
          <w:sz w:val="22"/>
          <w:szCs w:val="22"/>
        </w:rPr>
        <w:footnoteReference w:id="1"/>
      </w:r>
      <w:r w:rsidRPr="002D1F31">
        <w:rPr>
          <w:sz w:val="22"/>
          <w:szCs w:val="22"/>
        </w:rPr>
        <w:t>. This issue further highlights the need for housing strategies that account for local issues and a commitment to development</w:t>
      </w:r>
      <w:r w:rsidR="00363F5D">
        <w:rPr>
          <w:sz w:val="22"/>
          <w:szCs w:val="22"/>
        </w:rPr>
        <w:t xml:space="preserve"> of</w:t>
      </w:r>
      <w:r w:rsidRPr="002D1F31">
        <w:rPr>
          <w:sz w:val="22"/>
          <w:szCs w:val="22"/>
        </w:rPr>
        <w:t xml:space="preserve"> flexible, affordable and appropriate private rental accommodation </w:t>
      </w:r>
      <w:r w:rsidR="00297C13" w:rsidRPr="002D1F31">
        <w:rPr>
          <w:sz w:val="22"/>
          <w:szCs w:val="22"/>
        </w:rPr>
        <w:t>(see the Housing Snapshot on What’s Happening with Demand</w:t>
      </w:r>
      <w:r w:rsidR="0060791E" w:rsidRPr="002D1F31">
        <w:rPr>
          <w:sz w:val="22"/>
          <w:szCs w:val="22"/>
        </w:rPr>
        <w:t xml:space="preserve"> as well as the section on Dwelling Type above</w:t>
      </w:r>
      <w:r w:rsidR="00297C13" w:rsidRPr="002D1F31">
        <w:rPr>
          <w:sz w:val="22"/>
          <w:szCs w:val="22"/>
        </w:rPr>
        <w:t>).</w:t>
      </w:r>
    </w:p>
    <w:p w14:paraId="36C35F05" w14:textId="77777777" w:rsidR="00297C13" w:rsidRDefault="00753764" w:rsidP="005B0F0B">
      <w:pPr>
        <w:pStyle w:val="ListParagraph"/>
        <w:numPr>
          <w:ilvl w:val="0"/>
          <w:numId w:val="12"/>
        </w:numPr>
        <w:spacing w:before="0" w:after="0" w:line="259" w:lineRule="auto"/>
        <w:rPr>
          <w:sz w:val="22"/>
          <w:szCs w:val="22"/>
        </w:rPr>
      </w:pPr>
      <w:r>
        <w:rPr>
          <w:sz w:val="22"/>
          <w:szCs w:val="22"/>
        </w:rPr>
        <w:t>The increase in and concentration of Airbnb in Eastern City</w:t>
      </w:r>
      <w:r w:rsidR="00297C13" w:rsidRPr="002D1F31">
        <w:rPr>
          <w:sz w:val="22"/>
          <w:szCs w:val="22"/>
        </w:rPr>
        <w:t xml:space="preserve"> has the potential to </w:t>
      </w:r>
      <w:r w:rsidR="009F55B3" w:rsidRPr="002D1F31">
        <w:rPr>
          <w:sz w:val="22"/>
          <w:szCs w:val="22"/>
        </w:rPr>
        <w:t xml:space="preserve">take long term rental accommodation out of the market, </w:t>
      </w:r>
      <w:r w:rsidR="00297C13" w:rsidRPr="002D1F31">
        <w:rPr>
          <w:sz w:val="22"/>
          <w:szCs w:val="22"/>
        </w:rPr>
        <w:t>bid up housing prices</w:t>
      </w:r>
      <w:r w:rsidR="009F55B3" w:rsidRPr="002D1F31">
        <w:rPr>
          <w:sz w:val="22"/>
          <w:szCs w:val="22"/>
        </w:rPr>
        <w:t xml:space="preserve"> and</w:t>
      </w:r>
      <w:r w:rsidR="00297C13" w:rsidRPr="002D1F31">
        <w:rPr>
          <w:sz w:val="22"/>
          <w:szCs w:val="22"/>
        </w:rPr>
        <w:t xml:space="preserve"> make it more difficult for locals to </w:t>
      </w:r>
      <w:r w:rsidR="009F55B3" w:rsidRPr="002D1F31">
        <w:rPr>
          <w:sz w:val="22"/>
          <w:szCs w:val="22"/>
        </w:rPr>
        <w:t xml:space="preserve">find and </w:t>
      </w:r>
      <w:r>
        <w:rPr>
          <w:sz w:val="22"/>
          <w:szCs w:val="22"/>
        </w:rPr>
        <w:t xml:space="preserve">afford housing. </w:t>
      </w:r>
    </w:p>
    <w:p w14:paraId="002124FA" w14:textId="0BA4E700" w:rsidR="00753764" w:rsidRDefault="00753764" w:rsidP="005B0F0B">
      <w:pPr>
        <w:pStyle w:val="ListParagraph"/>
        <w:numPr>
          <w:ilvl w:val="0"/>
          <w:numId w:val="12"/>
        </w:numPr>
        <w:spacing w:before="0" w:after="0" w:line="259" w:lineRule="auto"/>
        <w:rPr>
          <w:sz w:val="22"/>
          <w:szCs w:val="22"/>
        </w:rPr>
      </w:pPr>
      <w:r>
        <w:rPr>
          <w:sz w:val="22"/>
          <w:szCs w:val="22"/>
        </w:rPr>
        <w:t xml:space="preserve">The table below shows the number of Airbnb properties by LGA according to Inside Airbnb at 2023 and compares this to the latest Census data on rental properties. </w:t>
      </w:r>
      <w:r w:rsidR="0045669F">
        <w:rPr>
          <w:sz w:val="22"/>
          <w:szCs w:val="22"/>
        </w:rPr>
        <w:t xml:space="preserve"> Not all Airbnb rentals are for the entire home, so the graph below uses Airbnb data on the proportion of entire homes (total homes) rented out in an LGA to calculate the proportion of Airbnb to the total rental stock, rather than all Airbnb properties. </w:t>
      </w:r>
      <w:r>
        <w:rPr>
          <w:sz w:val="22"/>
          <w:szCs w:val="22"/>
        </w:rPr>
        <w:t>It shows that Airbnb</w:t>
      </w:r>
      <w:r w:rsidR="0045669F">
        <w:rPr>
          <w:sz w:val="22"/>
          <w:szCs w:val="22"/>
        </w:rPr>
        <w:t xml:space="preserve"> rentals of entire homes</w:t>
      </w:r>
      <w:r>
        <w:rPr>
          <w:sz w:val="22"/>
          <w:szCs w:val="22"/>
        </w:rPr>
        <w:t xml:space="preserve"> is a significant proportion of rental properties in </w:t>
      </w:r>
      <w:r w:rsidR="0045669F">
        <w:rPr>
          <w:sz w:val="22"/>
          <w:szCs w:val="22"/>
        </w:rPr>
        <w:t>some</w:t>
      </w:r>
      <w:r>
        <w:rPr>
          <w:sz w:val="22"/>
          <w:szCs w:val="22"/>
        </w:rPr>
        <w:t xml:space="preserve"> Eastern City LGAs</w:t>
      </w:r>
      <w:r w:rsidR="0045669F">
        <w:rPr>
          <w:sz w:val="22"/>
          <w:szCs w:val="22"/>
        </w:rPr>
        <w:t>, particularly Waverley</w:t>
      </w:r>
      <w:r>
        <w:rPr>
          <w:sz w:val="22"/>
          <w:szCs w:val="22"/>
        </w:rPr>
        <w:t>.</w:t>
      </w:r>
    </w:p>
    <w:p w14:paraId="12943C5A" w14:textId="77777777" w:rsidR="00753764" w:rsidRDefault="00753764" w:rsidP="00753764">
      <w:pPr>
        <w:spacing w:before="0" w:after="0" w:line="259" w:lineRule="auto"/>
        <w:rPr>
          <w:sz w:val="22"/>
          <w:szCs w:val="22"/>
        </w:rPr>
      </w:pPr>
    </w:p>
    <w:p w14:paraId="5BDBFEA5" w14:textId="77777777" w:rsidR="00753764" w:rsidRDefault="0045669F" w:rsidP="00753764">
      <w:pPr>
        <w:spacing w:before="0" w:after="0" w:line="259" w:lineRule="auto"/>
        <w:ind w:left="360"/>
        <w:rPr>
          <w:sz w:val="22"/>
          <w:szCs w:val="22"/>
        </w:rPr>
      </w:pPr>
      <w:r w:rsidRPr="0045669F">
        <w:rPr>
          <w:noProof/>
        </w:rPr>
        <w:drawing>
          <wp:inline distT="0" distB="0" distL="0" distR="0" wp14:anchorId="50911205" wp14:editId="686D1EDC">
            <wp:extent cx="4038600" cy="3057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3057525"/>
                    </a:xfrm>
                    <a:prstGeom prst="rect">
                      <a:avLst/>
                    </a:prstGeom>
                    <a:noFill/>
                    <a:ln>
                      <a:noFill/>
                    </a:ln>
                  </pic:spPr>
                </pic:pic>
              </a:graphicData>
            </a:graphic>
          </wp:inline>
        </w:drawing>
      </w:r>
    </w:p>
    <w:p w14:paraId="21C4DFC2" w14:textId="77777777" w:rsidR="00753764" w:rsidRPr="00753764" w:rsidRDefault="00753764" w:rsidP="00753764">
      <w:pPr>
        <w:spacing w:before="0" w:after="0" w:line="259" w:lineRule="auto"/>
        <w:rPr>
          <w:sz w:val="22"/>
          <w:szCs w:val="22"/>
        </w:rPr>
      </w:pPr>
    </w:p>
    <w:p w14:paraId="18C8DD09" w14:textId="77777777" w:rsidR="000D791E" w:rsidRDefault="00297C13" w:rsidP="002D0D2B">
      <w:pPr>
        <w:numPr>
          <w:ilvl w:val="0"/>
          <w:numId w:val="7"/>
        </w:numPr>
        <w:spacing w:before="0" w:after="0"/>
        <w:rPr>
          <w:sz w:val="22"/>
          <w:szCs w:val="22"/>
        </w:rPr>
      </w:pPr>
      <w:r w:rsidRPr="000D791E">
        <w:rPr>
          <w:sz w:val="22"/>
          <w:szCs w:val="22"/>
        </w:rPr>
        <w:t xml:space="preserve">Noting that the rental market in </w:t>
      </w:r>
      <w:r w:rsidR="009F55B3" w:rsidRPr="000D791E">
        <w:rPr>
          <w:sz w:val="22"/>
          <w:szCs w:val="22"/>
        </w:rPr>
        <w:t>Sydney</w:t>
      </w:r>
      <w:r w:rsidRPr="000D791E">
        <w:rPr>
          <w:sz w:val="22"/>
          <w:szCs w:val="22"/>
        </w:rPr>
        <w:t xml:space="preserve"> </w:t>
      </w:r>
      <w:r w:rsidR="00E014EA">
        <w:rPr>
          <w:sz w:val="22"/>
          <w:szCs w:val="22"/>
        </w:rPr>
        <w:t>(</w:t>
      </w:r>
      <w:r w:rsidRPr="000D791E">
        <w:rPr>
          <w:sz w:val="22"/>
          <w:szCs w:val="22"/>
        </w:rPr>
        <w:t>and NSW generally</w:t>
      </w:r>
      <w:r w:rsidR="00EE539E">
        <w:rPr>
          <w:sz w:val="22"/>
          <w:szCs w:val="22"/>
        </w:rPr>
        <w:t>)</w:t>
      </w:r>
      <w:r w:rsidRPr="000D791E">
        <w:rPr>
          <w:sz w:val="22"/>
          <w:szCs w:val="22"/>
        </w:rPr>
        <w:t xml:space="preserve"> is very tight (see the</w:t>
      </w:r>
      <w:r w:rsidR="0033713C">
        <w:rPr>
          <w:sz w:val="22"/>
          <w:szCs w:val="22"/>
        </w:rPr>
        <w:t xml:space="preserve"> section on the Vacancy Rate in the</w:t>
      </w:r>
      <w:r w:rsidRPr="000D791E">
        <w:rPr>
          <w:sz w:val="22"/>
          <w:szCs w:val="22"/>
        </w:rPr>
        <w:t xml:space="preserve"> Housing Snapshot on What’s Happening in the Housing Market) it is therefore important to encourage tenure diversity and a range of price points to meet local needs, including facilitating </w:t>
      </w:r>
      <w:r w:rsidR="009F55B3" w:rsidRPr="000D791E">
        <w:rPr>
          <w:sz w:val="22"/>
          <w:szCs w:val="22"/>
        </w:rPr>
        <w:t xml:space="preserve">social and </w:t>
      </w:r>
      <w:r w:rsidRPr="000D791E">
        <w:rPr>
          <w:sz w:val="22"/>
          <w:szCs w:val="22"/>
        </w:rPr>
        <w:t>affordable housing development.</w:t>
      </w:r>
    </w:p>
    <w:p w14:paraId="6CD467A7" w14:textId="77777777" w:rsidR="00674CB5" w:rsidRPr="00D42452" w:rsidRDefault="006243EC" w:rsidP="002A6651">
      <w:pPr>
        <w:numPr>
          <w:ilvl w:val="0"/>
          <w:numId w:val="7"/>
        </w:numPr>
        <w:spacing w:before="0" w:after="0"/>
        <w:rPr>
          <w:sz w:val="22"/>
          <w:szCs w:val="22"/>
        </w:rPr>
      </w:pPr>
      <w:r w:rsidRPr="00D42452">
        <w:rPr>
          <w:sz w:val="22"/>
          <w:szCs w:val="22"/>
        </w:rPr>
        <w:t xml:space="preserve">The lack of housing affordability has had a significant impact on tenure, with younger households unable to afford to purchase a home.  </w:t>
      </w:r>
      <w:r w:rsidR="004746FA" w:rsidRPr="00D42452">
        <w:rPr>
          <w:sz w:val="22"/>
          <w:szCs w:val="22"/>
        </w:rPr>
        <w:t xml:space="preserve">The higher proportion of private rental </w:t>
      </w:r>
      <w:r w:rsidR="000E2C55" w:rsidRPr="00D42452">
        <w:rPr>
          <w:sz w:val="22"/>
          <w:szCs w:val="22"/>
        </w:rPr>
        <w:t xml:space="preserve">accommodation in Eastern City </w:t>
      </w:r>
      <w:r w:rsidR="004746FA" w:rsidRPr="00D42452">
        <w:rPr>
          <w:sz w:val="22"/>
          <w:szCs w:val="22"/>
        </w:rPr>
        <w:t xml:space="preserve">provides flexibility and is essential in a subregion with several universities, </w:t>
      </w:r>
      <w:r w:rsidR="000E2C55" w:rsidRPr="00D42452">
        <w:rPr>
          <w:sz w:val="22"/>
          <w:szCs w:val="22"/>
        </w:rPr>
        <w:t xml:space="preserve">large hospitals, </w:t>
      </w:r>
      <w:r w:rsidR="004746FA" w:rsidRPr="00D42452">
        <w:rPr>
          <w:sz w:val="22"/>
          <w:szCs w:val="22"/>
        </w:rPr>
        <w:t xml:space="preserve">as well as the airport, port and other significant </w:t>
      </w:r>
      <w:r w:rsidR="004746FA" w:rsidRPr="00D42452">
        <w:rPr>
          <w:sz w:val="22"/>
          <w:szCs w:val="22"/>
        </w:rPr>
        <w:lastRenderedPageBreak/>
        <w:t>employment</w:t>
      </w:r>
      <w:r w:rsidR="00752CD3" w:rsidRPr="00D42452">
        <w:rPr>
          <w:sz w:val="22"/>
          <w:szCs w:val="22"/>
        </w:rPr>
        <w:t xml:space="preserve"> (see the section on Key Workers in the Housing Snapshot on What’s Happening in the Housing Market)</w:t>
      </w:r>
      <w:r w:rsidR="004746FA" w:rsidRPr="00D42452">
        <w:rPr>
          <w:sz w:val="22"/>
          <w:szCs w:val="22"/>
        </w:rPr>
        <w:t>.</w:t>
      </w:r>
    </w:p>
    <w:p w14:paraId="3417BEC8" w14:textId="77777777" w:rsidR="00E228EE" w:rsidRDefault="00E228EE" w:rsidP="00450F8A">
      <w:pPr>
        <w:pStyle w:val="Heading2"/>
      </w:pPr>
    </w:p>
    <w:p w14:paraId="0DFEE0AA" w14:textId="77777777" w:rsidR="00E228EE" w:rsidRPr="00EA1AD8" w:rsidRDefault="00E228EE" w:rsidP="00E228EE">
      <w:pPr>
        <w:rPr>
          <w:b/>
          <w:color w:val="008000"/>
          <w:sz w:val="32"/>
        </w:rPr>
      </w:pPr>
      <w:r>
        <w:rPr>
          <w:b/>
          <w:color w:val="008000"/>
          <w:sz w:val="32"/>
        </w:rPr>
        <w:t>Social</w:t>
      </w:r>
      <w:r w:rsidRPr="00EA1AD8">
        <w:rPr>
          <w:b/>
          <w:color w:val="008000"/>
          <w:sz w:val="32"/>
        </w:rPr>
        <w:t xml:space="preserve"> Housing</w:t>
      </w:r>
    </w:p>
    <w:p w14:paraId="05FDA3B7" w14:textId="77777777" w:rsidR="00E228EE" w:rsidRDefault="00E228EE" w:rsidP="00E228EE">
      <w:pPr>
        <w:numPr>
          <w:ilvl w:val="0"/>
          <w:numId w:val="10"/>
        </w:numPr>
        <w:spacing w:before="0" w:after="0"/>
        <w:rPr>
          <w:sz w:val="22"/>
          <w:szCs w:val="22"/>
        </w:rPr>
      </w:pPr>
      <w:r w:rsidRPr="00195B00">
        <w:rPr>
          <w:sz w:val="22"/>
          <w:szCs w:val="22"/>
        </w:rPr>
        <w:t>Social housing is secure and affordable rental housing for people on low incomes with housing needs. It includes public, community and Aboriginal housing. Public housing is managed by DCJ while community housing is managed by non-government organisations.</w:t>
      </w:r>
    </w:p>
    <w:p w14:paraId="6E7E61AB" w14:textId="77777777" w:rsidR="00E228EE" w:rsidRDefault="00E228EE" w:rsidP="00E228EE">
      <w:pPr>
        <w:numPr>
          <w:ilvl w:val="0"/>
          <w:numId w:val="10"/>
        </w:numPr>
        <w:spacing w:before="0" w:after="0"/>
        <w:rPr>
          <w:sz w:val="22"/>
          <w:szCs w:val="22"/>
        </w:rPr>
      </w:pPr>
      <w:r w:rsidRPr="00EC31FB">
        <w:rPr>
          <w:sz w:val="22"/>
          <w:szCs w:val="22"/>
        </w:rPr>
        <w:t>As at June 2022, there are 154,600 social housing dwellings in NSW</w:t>
      </w:r>
      <w:r>
        <w:rPr>
          <w:sz w:val="22"/>
          <w:szCs w:val="22"/>
        </w:rPr>
        <w:t>, with 96,712 managed by public housing, 48,264 managed by community housing and 9,624 managed exclusively for Aboriginal people – of these the Aboriginal Housing Office (AHO) are responsible for 4,120 and Aboriginal Community Housing Providers (ACHP) manage 5,504.</w:t>
      </w:r>
    </w:p>
    <w:p w14:paraId="0175D430" w14:textId="77777777" w:rsidR="00E228EE" w:rsidRPr="00555830" w:rsidRDefault="00E228EE" w:rsidP="00E228EE">
      <w:pPr>
        <w:numPr>
          <w:ilvl w:val="0"/>
          <w:numId w:val="10"/>
        </w:numPr>
        <w:spacing w:before="0" w:after="0"/>
        <w:rPr>
          <w:sz w:val="22"/>
          <w:szCs w:val="22"/>
        </w:rPr>
      </w:pPr>
      <w:r w:rsidRPr="00555830">
        <w:rPr>
          <w:sz w:val="22"/>
          <w:szCs w:val="22"/>
        </w:rPr>
        <w:t xml:space="preserve">The table below shows the number of public housing properties in the </w:t>
      </w:r>
      <w:r>
        <w:rPr>
          <w:sz w:val="22"/>
          <w:szCs w:val="22"/>
        </w:rPr>
        <w:t>Eastern City</w:t>
      </w:r>
      <w:r w:rsidRPr="00555830">
        <w:rPr>
          <w:sz w:val="22"/>
          <w:szCs w:val="22"/>
        </w:rPr>
        <w:t xml:space="preserve"> LGAs as at June 20</w:t>
      </w:r>
      <w:r>
        <w:rPr>
          <w:sz w:val="22"/>
          <w:szCs w:val="22"/>
        </w:rPr>
        <w:t>22</w:t>
      </w:r>
      <w:r w:rsidRPr="00555830">
        <w:rPr>
          <w:sz w:val="22"/>
          <w:szCs w:val="22"/>
        </w:rPr>
        <w:t xml:space="preserve">.  Please note that Census data on public housing is not </w:t>
      </w:r>
      <w:r>
        <w:rPr>
          <w:sz w:val="22"/>
          <w:szCs w:val="22"/>
        </w:rPr>
        <w:t>totally</w:t>
      </w:r>
      <w:r w:rsidRPr="00555830">
        <w:rPr>
          <w:sz w:val="22"/>
          <w:szCs w:val="22"/>
        </w:rPr>
        <w:t xml:space="preserve"> accurate, as public housing tenure is under reported in the Census.  The figures below do not include community housing properties.</w:t>
      </w:r>
    </w:p>
    <w:p w14:paraId="2059DAAE" w14:textId="77777777" w:rsidR="00E228EE" w:rsidRPr="00EC31FB" w:rsidRDefault="00E228EE" w:rsidP="00E228EE">
      <w:pPr>
        <w:spacing w:before="0" w:after="0"/>
        <w:ind w:left="360"/>
        <w:rPr>
          <w:sz w:val="22"/>
          <w:szCs w:val="22"/>
        </w:rPr>
      </w:pPr>
    </w:p>
    <w:p w14:paraId="32270341" w14:textId="77777777" w:rsidR="007D10F5" w:rsidRDefault="00E228EE" w:rsidP="00E228EE">
      <w:pPr>
        <w:ind w:left="360"/>
        <w:rPr>
          <w:sz w:val="22"/>
          <w:szCs w:val="22"/>
        </w:rPr>
      </w:pPr>
      <w:r w:rsidRPr="00E228EE">
        <w:rPr>
          <w:noProof/>
        </w:rPr>
        <w:drawing>
          <wp:inline distT="0" distB="0" distL="0" distR="0" wp14:anchorId="3D45BDFB" wp14:editId="37961AC7">
            <wp:extent cx="2305050" cy="2676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676525"/>
                    </a:xfrm>
                    <a:prstGeom prst="rect">
                      <a:avLst/>
                    </a:prstGeom>
                    <a:noFill/>
                    <a:ln>
                      <a:noFill/>
                    </a:ln>
                  </pic:spPr>
                </pic:pic>
              </a:graphicData>
            </a:graphic>
          </wp:inline>
        </w:drawing>
      </w:r>
    </w:p>
    <w:p w14:paraId="35D94DCB" w14:textId="77777777" w:rsidR="00E228EE" w:rsidRDefault="00E228EE" w:rsidP="00E228EE">
      <w:pPr>
        <w:pStyle w:val="ListParagraph"/>
        <w:numPr>
          <w:ilvl w:val="0"/>
          <w:numId w:val="11"/>
        </w:numPr>
        <w:rPr>
          <w:sz w:val="22"/>
          <w:szCs w:val="22"/>
        </w:rPr>
      </w:pPr>
      <w:r w:rsidRPr="007C7958">
        <w:rPr>
          <w:sz w:val="22"/>
        </w:rPr>
        <w:t xml:space="preserve">In addition, community housing providers manage a </w:t>
      </w:r>
      <w:r>
        <w:rPr>
          <w:sz w:val="22"/>
        </w:rPr>
        <w:t xml:space="preserve">significant </w:t>
      </w:r>
      <w:r w:rsidRPr="007C7958">
        <w:rPr>
          <w:sz w:val="22"/>
        </w:rPr>
        <w:t xml:space="preserve">number of properties – including social housing, affordable housing, transitional housing and crisis accommodation in </w:t>
      </w:r>
      <w:r>
        <w:rPr>
          <w:sz w:val="22"/>
        </w:rPr>
        <w:t>the Central West and Orana region</w:t>
      </w:r>
      <w:r w:rsidRPr="007C7958">
        <w:rPr>
          <w:sz w:val="22"/>
        </w:rPr>
        <w:t>, as outlined in the table below</w:t>
      </w:r>
      <w:r w:rsidRPr="0056373B">
        <w:rPr>
          <w:sz w:val="22"/>
          <w:szCs w:val="22"/>
        </w:rPr>
        <w:t>.</w:t>
      </w:r>
      <w:r>
        <w:rPr>
          <w:sz w:val="22"/>
          <w:szCs w:val="22"/>
        </w:rPr>
        <w:t xml:space="preserve">  </w:t>
      </w:r>
    </w:p>
    <w:p w14:paraId="6C8A41D8" w14:textId="77777777" w:rsidR="00E228EE" w:rsidRPr="00E77916" w:rsidRDefault="00E228EE" w:rsidP="00E228EE">
      <w:pPr>
        <w:pStyle w:val="ListParagraph"/>
        <w:numPr>
          <w:ilvl w:val="0"/>
          <w:numId w:val="11"/>
        </w:numPr>
        <w:rPr>
          <w:sz w:val="22"/>
          <w:szCs w:val="22"/>
        </w:rPr>
      </w:pPr>
      <w:r>
        <w:rPr>
          <w:sz w:val="22"/>
          <w:szCs w:val="22"/>
        </w:rPr>
        <w:t>Note that a</w:t>
      </w:r>
      <w:r w:rsidRPr="00E77916">
        <w:rPr>
          <w:sz w:val="22"/>
          <w:szCs w:val="22"/>
        </w:rPr>
        <w:t>ffordable housing is not the same as social housing.</w:t>
      </w:r>
      <w:r>
        <w:rPr>
          <w:sz w:val="22"/>
          <w:szCs w:val="22"/>
        </w:rPr>
        <w:t xml:space="preserve">  </w:t>
      </w:r>
      <w:r w:rsidRPr="00E77916">
        <w:rPr>
          <w:sz w:val="22"/>
          <w:szCs w:val="22"/>
        </w:rPr>
        <w:t>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0F0CDC94" w14:textId="77777777" w:rsidR="00E228EE" w:rsidRPr="0056373B" w:rsidRDefault="00E228EE" w:rsidP="00E228EE">
      <w:pPr>
        <w:pStyle w:val="ListParagraph"/>
        <w:numPr>
          <w:ilvl w:val="0"/>
          <w:numId w:val="11"/>
        </w:numPr>
        <w:rPr>
          <w:sz w:val="22"/>
          <w:szCs w:val="22"/>
        </w:rPr>
      </w:pPr>
      <w:r w:rsidRPr="00E77916">
        <w:rPr>
          <w:sz w:val="22"/>
          <w:szCs w:val="22"/>
        </w:rPr>
        <w:t xml:space="preserve">Affordable housing is managed more like a private rental property, but there are eligibility criteria and the managers are mostly not for profit community housing providers. </w:t>
      </w:r>
    </w:p>
    <w:p w14:paraId="7B76DCD3" w14:textId="77777777" w:rsidR="00E228EE" w:rsidRDefault="00E228EE" w:rsidP="00E228EE">
      <w:pPr>
        <w:ind w:left="360"/>
        <w:rPr>
          <w:sz w:val="22"/>
          <w:szCs w:val="22"/>
        </w:rPr>
      </w:pPr>
    </w:p>
    <w:p w14:paraId="1A027A4C" w14:textId="77777777" w:rsidR="00E228EE" w:rsidRDefault="00E228EE" w:rsidP="00E228EE">
      <w:pPr>
        <w:ind w:left="360"/>
        <w:rPr>
          <w:sz w:val="22"/>
          <w:szCs w:val="22"/>
        </w:rPr>
      </w:pPr>
      <w:r w:rsidRPr="00E228EE">
        <w:rPr>
          <w:noProof/>
        </w:rPr>
        <w:lastRenderedPageBreak/>
        <w:drawing>
          <wp:inline distT="0" distB="0" distL="0" distR="0" wp14:anchorId="148E20E8" wp14:editId="2B912B3D">
            <wp:extent cx="2305050" cy="2486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0" cy="2486025"/>
                    </a:xfrm>
                    <a:prstGeom prst="rect">
                      <a:avLst/>
                    </a:prstGeom>
                    <a:noFill/>
                    <a:ln>
                      <a:noFill/>
                    </a:ln>
                  </pic:spPr>
                </pic:pic>
              </a:graphicData>
            </a:graphic>
          </wp:inline>
        </w:drawing>
      </w:r>
    </w:p>
    <w:p w14:paraId="4FF897BA" w14:textId="77777777" w:rsidR="00E228EE" w:rsidRDefault="00E228EE" w:rsidP="00E228EE">
      <w:pPr>
        <w:pStyle w:val="ListParagraph"/>
        <w:numPr>
          <w:ilvl w:val="0"/>
          <w:numId w:val="11"/>
        </w:numPr>
        <w:spacing w:after="120"/>
        <w:rPr>
          <w:sz w:val="22"/>
          <w:szCs w:val="22"/>
        </w:rPr>
      </w:pPr>
      <w:r>
        <w:rPr>
          <w:sz w:val="22"/>
          <w:szCs w:val="22"/>
        </w:rPr>
        <w:t>The next table gives the number of AHO homes and the number managed by ACHPs in South Eastern Sydney</w:t>
      </w:r>
      <w:r w:rsidR="00A270B2">
        <w:rPr>
          <w:sz w:val="22"/>
          <w:szCs w:val="22"/>
        </w:rPr>
        <w:t xml:space="preserve"> as at June 2022</w:t>
      </w:r>
      <w:r>
        <w:rPr>
          <w:sz w:val="22"/>
          <w:szCs w:val="22"/>
        </w:rPr>
        <w:t>.</w:t>
      </w:r>
    </w:p>
    <w:p w14:paraId="0EE1A100" w14:textId="77777777" w:rsidR="00E228EE" w:rsidRDefault="00E228EE" w:rsidP="00E228EE">
      <w:pPr>
        <w:ind w:left="360"/>
        <w:rPr>
          <w:sz w:val="22"/>
          <w:szCs w:val="22"/>
        </w:rPr>
      </w:pPr>
      <w:r w:rsidRPr="00E228EE">
        <w:rPr>
          <w:noProof/>
        </w:rPr>
        <w:drawing>
          <wp:inline distT="0" distB="0" distL="0" distR="0" wp14:anchorId="7B349D85" wp14:editId="2C8BF9C5">
            <wp:extent cx="291465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581025"/>
                    </a:xfrm>
                    <a:prstGeom prst="rect">
                      <a:avLst/>
                    </a:prstGeom>
                    <a:noFill/>
                    <a:ln>
                      <a:noFill/>
                    </a:ln>
                  </pic:spPr>
                </pic:pic>
              </a:graphicData>
            </a:graphic>
          </wp:inline>
        </w:drawing>
      </w:r>
    </w:p>
    <w:p w14:paraId="351015F3" w14:textId="77777777" w:rsidR="00902F52" w:rsidRPr="00B40E18" w:rsidRDefault="00902F52" w:rsidP="00902F52">
      <w:pPr>
        <w:pStyle w:val="ListParagraph"/>
        <w:numPr>
          <w:ilvl w:val="0"/>
          <w:numId w:val="2"/>
        </w:numPr>
        <w:spacing w:after="120"/>
        <w:rPr>
          <w:sz w:val="22"/>
          <w:szCs w:val="22"/>
        </w:rPr>
      </w:pPr>
      <w:r w:rsidRPr="00B40E18">
        <w:rPr>
          <w:sz w:val="22"/>
          <w:szCs w:val="22"/>
        </w:rPr>
        <w:t>Note that there are 3 types of social housing available for Aboriginal people:</w:t>
      </w:r>
    </w:p>
    <w:p w14:paraId="4526CBB8" w14:textId="77777777" w:rsidR="00902F52" w:rsidRPr="00B40E18" w:rsidRDefault="00902F52" w:rsidP="00902F52">
      <w:pPr>
        <w:pStyle w:val="ListParagraph"/>
        <w:numPr>
          <w:ilvl w:val="1"/>
          <w:numId w:val="2"/>
        </w:numPr>
        <w:spacing w:after="120"/>
        <w:rPr>
          <w:sz w:val="22"/>
          <w:szCs w:val="22"/>
        </w:rPr>
      </w:pPr>
      <w:r w:rsidRPr="00B40E18">
        <w:rPr>
          <w:sz w:val="22"/>
          <w:szCs w:val="22"/>
        </w:rPr>
        <w:t xml:space="preserve">Public housing – these properties are managed by the Department of Communities and Justice (DCJ). </w:t>
      </w:r>
    </w:p>
    <w:p w14:paraId="7C6218E9" w14:textId="77777777" w:rsidR="00902F52" w:rsidRPr="00B40E18" w:rsidRDefault="00902F52" w:rsidP="00902F52">
      <w:pPr>
        <w:pStyle w:val="ListParagraph"/>
        <w:numPr>
          <w:ilvl w:val="1"/>
          <w:numId w:val="2"/>
        </w:numPr>
        <w:spacing w:after="120"/>
        <w:rPr>
          <w:sz w:val="22"/>
          <w:szCs w:val="22"/>
        </w:rPr>
      </w:pPr>
      <w:r w:rsidRPr="00B40E18">
        <w:rPr>
          <w:sz w:val="22"/>
          <w:szCs w:val="22"/>
        </w:rPr>
        <w:t>Aboriginal Housing Office homes – these are properties owned by the Aboriginal Housing Office and managed by DCJ.</w:t>
      </w:r>
    </w:p>
    <w:p w14:paraId="5A629AAE" w14:textId="77777777" w:rsidR="00902F52" w:rsidRDefault="00902F52" w:rsidP="00902F52">
      <w:pPr>
        <w:pStyle w:val="ListParagraph"/>
        <w:numPr>
          <w:ilvl w:val="1"/>
          <w:numId w:val="2"/>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r w:rsidRPr="00B40E18">
        <w:rPr>
          <w:sz w:val="22"/>
          <w:szCs w:val="22"/>
        </w:rPr>
        <w:t>.</w:t>
      </w:r>
    </w:p>
    <w:p w14:paraId="13D4DEC1" w14:textId="77777777" w:rsidR="0099391B" w:rsidRPr="00902F52" w:rsidRDefault="00450F8A" w:rsidP="00902F52">
      <w:pPr>
        <w:pStyle w:val="ListParagraph"/>
        <w:numPr>
          <w:ilvl w:val="0"/>
          <w:numId w:val="2"/>
        </w:numPr>
        <w:spacing w:after="120"/>
        <w:rPr>
          <w:sz w:val="22"/>
          <w:szCs w:val="22"/>
        </w:rPr>
      </w:pPr>
      <w:r w:rsidRPr="00902F52">
        <w:rPr>
          <w:sz w:val="22"/>
          <w:szCs w:val="22"/>
        </w:rPr>
        <w:t xml:space="preserve">The table below shows the expected waiting times for general housing approved social housing applicants (not for priority housing applicants) by bedroom category in the </w:t>
      </w:r>
      <w:r w:rsidR="009E24DC" w:rsidRPr="00902F52">
        <w:rPr>
          <w:sz w:val="22"/>
          <w:szCs w:val="22"/>
        </w:rPr>
        <w:t>Eastern City</w:t>
      </w:r>
      <w:r w:rsidR="00D448ED" w:rsidRPr="00902F52">
        <w:rPr>
          <w:sz w:val="22"/>
          <w:szCs w:val="22"/>
        </w:rPr>
        <w:t xml:space="preserve"> at June 2022</w:t>
      </w:r>
      <w:r w:rsidRPr="00902F52">
        <w:rPr>
          <w:sz w:val="22"/>
          <w:szCs w:val="22"/>
        </w:rPr>
        <w:t xml:space="preserve">. </w:t>
      </w:r>
      <w:r w:rsidR="0065777D" w:rsidRPr="00902F52">
        <w:rPr>
          <w:sz w:val="22"/>
          <w:szCs w:val="22"/>
        </w:rPr>
        <w:t>T</w:t>
      </w:r>
      <w:r w:rsidRPr="00902F52">
        <w:rPr>
          <w:sz w:val="22"/>
          <w:szCs w:val="22"/>
        </w:rPr>
        <w:t xml:space="preserve">his District has a </w:t>
      </w:r>
      <w:r w:rsidR="009E24DC" w:rsidRPr="00902F52">
        <w:rPr>
          <w:sz w:val="22"/>
          <w:szCs w:val="22"/>
        </w:rPr>
        <w:t>higher</w:t>
      </w:r>
      <w:r w:rsidR="0065777D" w:rsidRPr="00902F52">
        <w:rPr>
          <w:sz w:val="22"/>
          <w:szCs w:val="22"/>
        </w:rPr>
        <w:t xml:space="preserve"> </w:t>
      </w:r>
      <w:r w:rsidRPr="00902F52">
        <w:rPr>
          <w:sz w:val="22"/>
          <w:szCs w:val="22"/>
        </w:rPr>
        <w:t xml:space="preserve">than average </w:t>
      </w:r>
      <w:r w:rsidR="0065777D" w:rsidRPr="00902F52">
        <w:rPr>
          <w:sz w:val="22"/>
          <w:szCs w:val="22"/>
        </w:rPr>
        <w:t>amount</w:t>
      </w:r>
      <w:r w:rsidRPr="00902F52">
        <w:rPr>
          <w:sz w:val="22"/>
          <w:szCs w:val="22"/>
        </w:rPr>
        <w:t xml:space="preserve"> of social housing compared to other Sydney Districts</w:t>
      </w:r>
      <w:r w:rsidR="009E24DC" w:rsidRPr="00902F52">
        <w:rPr>
          <w:sz w:val="22"/>
          <w:szCs w:val="22"/>
        </w:rPr>
        <w:t xml:space="preserve">, largely due to the large estates in the City of Sydney and </w:t>
      </w:r>
      <w:r w:rsidR="0051365D" w:rsidRPr="00902F52">
        <w:rPr>
          <w:sz w:val="22"/>
          <w:szCs w:val="22"/>
        </w:rPr>
        <w:t>Randwick local government</w:t>
      </w:r>
      <w:r w:rsidR="009E24DC" w:rsidRPr="00902F52">
        <w:rPr>
          <w:sz w:val="22"/>
          <w:szCs w:val="22"/>
        </w:rPr>
        <w:t xml:space="preserve"> areas. W</w:t>
      </w:r>
      <w:r w:rsidRPr="00902F52">
        <w:rPr>
          <w:sz w:val="22"/>
          <w:szCs w:val="22"/>
        </w:rPr>
        <w:t>aiting times for general housing are between 5-10 years or 10+ years depending on allocation zone or bedroom numbers</w:t>
      </w:r>
      <w:r w:rsidR="00EE3C80" w:rsidRPr="00902F52">
        <w:rPr>
          <w:sz w:val="22"/>
          <w:szCs w:val="22"/>
        </w:rPr>
        <w:t>.</w:t>
      </w:r>
    </w:p>
    <w:p w14:paraId="033D9F86" w14:textId="77777777" w:rsidR="00D448ED" w:rsidRPr="00D365BA" w:rsidRDefault="00D448ED" w:rsidP="00D365BA">
      <w:r w:rsidRPr="00D448ED">
        <w:rPr>
          <w:noProof/>
        </w:rPr>
        <w:drawing>
          <wp:inline distT="0" distB="0" distL="0" distR="0" wp14:anchorId="10F9B730" wp14:editId="56F55DE4">
            <wp:extent cx="5353050" cy="1343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3050" cy="1343025"/>
                    </a:xfrm>
                    <a:prstGeom prst="rect">
                      <a:avLst/>
                    </a:prstGeom>
                    <a:noFill/>
                    <a:ln>
                      <a:noFill/>
                    </a:ln>
                  </pic:spPr>
                </pic:pic>
              </a:graphicData>
            </a:graphic>
          </wp:inline>
        </w:drawing>
      </w:r>
    </w:p>
    <w:p w14:paraId="6E1D7E0A" w14:textId="77777777" w:rsidR="00EE3C80" w:rsidRDefault="00EE3C80" w:rsidP="00EE3C80">
      <w:pPr>
        <w:rPr>
          <w:sz w:val="2"/>
        </w:rPr>
      </w:pPr>
    </w:p>
    <w:p w14:paraId="7C7945D6" w14:textId="77777777" w:rsidR="00D448ED" w:rsidRDefault="00D448ED" w:rsidP="00D448ED">
      <w:pPr>
        <w:rPr>
          <w:rStyle w:val="Hyperlink"/>
          <w:sz w:val="22"/>
        </w:rPr>
      </w:pPr>
      <w:r w:rsidRPr="00EE3C80">
        <w:rPr>
          <w:sz w:val="22"/>
        </w:rPr>
        <w:t xml:space="preserve">More information on Expected Waiting Times for Public Housing is available on the </w:t>
      </w:r>
      <w:r w:rsidR="00486317">
        <w:rPr>
          <w:sz w:val="22"/>
        </w:rPr>
        <w:t>DCJ</w:t>
      </w:r>
      <w:r w:rsidRPr="00EE3C80">
        <w:rPr>
          <w:sz w:val="22"/>
        </w:rPr>
        <w:t xml:space="preserve"> website by region at: </w:t>
      </w:r>
      <w:hyperlink r:id="rId21" w:history="1">
        <w:r w:rsidRPr="00EE3C80">
          <w:rPr>
            <w:rStyle w:val="Hyperlink"/>
            <w:sz w:val="22"/>
          </w:rPr>
          <w:t>http://www.housingpathways.nsw.gov.au/How+to+Apply/Expected+Waiting+Times/</w:t>
        </w:r>
      </w:hyperlink>
    </w:p>
    <w:p w14:paraId="53790B6B" w14:textId="77777777" w:rsidR="00D365BA" w:rsidRDefault="00D365BA" w:rsidP="00EE3C80">
      <w:pPr>
        <w:rPr>
          <w:sz w:val="2"/>
        </w:rPr>
      </w:pPr>
    </w:p>
    <w:p w14:paraId="65B7D844" w14:textId="77777777" w:rsidR="00D365BA" w:rsidRDefault="00D365BA" w:rsidP="00EE3C80">
      <w:pPr>
        <w:rPr>
          <w:sz w:val="2"/>
        </w:rPr>
      </w:pPr>
    </w:p>
    <w:p w14:paraId="22FA048D" w14:textId="77777777" w:rsidR="00EE3C80" w:rsidRDefault="00EE3C80" w:rsidP="00516195">
      <w:pPr>
        <w:rPr>
          <w:sz w:val="22"/>
        </w:rPr>
      </w:pPr>
    </w:p>
    <w:p w14:paraId="6C8D5A9B" w14:textId="77777777" w:rsidR="00573960" w:rsidRPr="00C87A25" w:rsidRDefault="00573960" w:rsidP="00573960">
      <w:pPr>
        <w:pStyle w:val="Heading2"/>
      </w:pPr>
      <w:r w:rsidRPr="00C87A25">
        <w:t>The Gap</w:t>
      </w:r>
    </w:p>
    <w:p w14:paraId="05D9CDCB" w14:textId="77777777" w:rsidR="00D15C74" w:rsidRDefault="00C87A25" w:rsidP="00C87A25">
      <w:pPr>
        <w:numPr>
          <w:ilvl w:val="0"/>
          <w:numId w:val="21"/>
        </w:numPr>
        <w:spacing w:before="0" w:after="0"/>
        <w:rPr>
          <w:sz w:val="22"/>
          <w:szCs w:val="22"/>
        </w:rPr>
      </w:pPr>
      <w:r w:rsidRPr="00DE0BFE">
        <w:rPr>
          <w:sz w:val="22"/>
          <w:szCs w:val="22"/>
        </w:rPr>
        <w:t xml:space="preserve">Low income (including very low income) </w:t>
      </w:r>
      <w:r w:rsidR="00E64696">
        <w:rPr>
          <w:sz w:val="22"/>
          <w:szCs w:val="22"/>
        </w:rPr>
        <w:t xml:space="preserve">as well as moderate income </w:t>
      </w:r>
      <w:r w:rsidRPr="00DE0BFE">
        <w:rPr>
          <w:sz w:val="22"/>
          <w:szCs w:val="22"/>
        </w:rPr>
        <w:t xml:space="preserve">households </w:t>
      </w:r>
      <w:r w:rsidR="00E64696">
        <w:rPr>
          <w:sz w:val="22"/>
          <w:szCs w:val="22"/>
        </w:rPr>
        <w:t xml:space="preserve">have declined in number in the Eastern City while high income households have increased significantly across the district and are clearly the dominant income group.  Between 2016 and 2021 low income households declined by </w:t>
      </w:r>
      <w:r w:rsidR="006D083C">
        <w:rPr>
          <w:sz w:val="22"/>
          <w:szCs w:val="22"/>
        </w:rPr>
        <w:t>-</w:t>
      </w:r>
      <w:r w:rsidR="00E64696">
        <w:rPr>
          <w:sz w:val="22"/>
          <w:szCs w:val="22"/>
        </w:rPr>
        <w:t xml:space="preserve">19.6%, moderate income households declined by </w:t>
      </w:r>
      <w:r w:rsidR="006D083C">
        <w:rPr>
          <w:sz w:val="22"/>
          <w:szCs w:val="22"/>
        </w:rPr>
        <w:t>-</w:t>
      </w:r>
      <w:r w:rsidR="00E64696">
        <w:rPr>
          <w:sz w:val="22"/>
          <w:szCs w:val="22"/>
        </w:rPr>
        <w:t>40.6% and high income households increased by 36.4%.</w:t>
      </w:r>
    </w:p>
    <w:p w14:paraId="0FB8A45D" w14:textId="77777777" w:rsidR="00E64696" w:rsidRPr="00D15C74" w:rsidRDefault="00E64696" w:rsidP="00E64696">
      <w:pPr>
        <w:numPr>
          <w:ilvl w:val="0"/>
          <w:numId w:val="21"/>
        </w:numPr>
        <w:spacing w:before="0" w:after="0"/>
        <w:rPr>
          <w:sz w:val="22"/>
          <w:szCs w:val="22"/>
        </w:rPr>
      </w:pPr>
      <w:r>
        <w:rPr>
          <w:sz w:val="22"/>
        </w:rPr>
        <w:t xml:space="preserve">Despite the fact that between 2016 and 2021 Eastern City lost low income households, there was an increase in low income rental households and low income rental households in housing stress.  </w:t>
      </w:r>
    </w:p>
    <w:p w14:paraId="39863F6E" w14:textId="77777777" w:rsidR="00E64696" w:rsidRPr="00D15C74" w:rsidRDefault="00E64696" w:rsidP="00E64696">
      <w:pPr>
        <w:numPr>
          <w:ilvl w:val="0"/>
          <w:numId w:val="21"/>
        </w:numPr>
        <w:spacing w:before="0" w:after="0"/>
        <w:rPr>
          <w:sz w:val="22"/>
          <w:szCs w:val="22"/>
        </w:rPr>
      </w:pPr>
      <w:r>
        <w:rPr>
          <w:sz w:val="22"/>
        </w:rPr>
        <w:t>There has also been a significant increase in rents, tightening of the rental market and decline in affordable private rental in Eastern City.</w:t>
      </w:r>
    </w:p>
    <w:p w14:paraId="6E3C28EA" w14:textId="77777777" w:rsidR="00E64696" w:rsidRPr="00952F77" w:rsidRDefault="00E64696" w:rsidP="00E64696">
      <w:pPr>
        <w:numPr>
          <w:ilvl w:val="0"/>
          <w:numId w:val="21"/>
        </w:numPr>
        <w:spacing w:before="0" w:after="0"/>
        <w:rPr>
          <w:sz w:val="22"/>
          <w:szCs w:val="22"/>
        </w:rPr>
      </w:pPr>
      <w:r>
        <w:rPr>
          <w:sz w:val="22"/>
        </w:rPr>
        <w:t>There</w:t>
      </w:r>
      <w:r w:rsidRPr="00952F77">
        <w:rPr>
          <w:sz w:val="22"/>
        </w:rPr>
        <w:t xml:space="preserve"> is a large and growing gap between the increasing number of low income earners in the private rental market and the declining number of private rental properties that are affordable for low income households.</w:t>
      </w:r>
      <w:r>
        <w:rPr>
          <w:sz w:val="22"/>
        </w:rPr>
        <w:t xml:space="preserve">  There is also no option for low income purchasers to buy a home in Eastern City.</w:t>
      </w:r>
    </w:p>
    <w:p w14:paraId="14FA7D91" w14:textId="77777777" w:rsidR="00C87A25" w:rsidRPr="007F5E5F" w:rsidRDefault="004E2159" w:rsidP="00C87A25">
      <w:pPr>
        <w:numPr>
          <w:ilvl w:val="0"/>
          <w:numId w:val="21"/>
        </w:numPr>
        <w:spacing w:before="0" w:after="0"/>
        <w:rPr>
          <w:sz w:val="22"/>
          <w:szCs w:val="22"/>
        </w:rPr>
      </w:pPr>
      <w:r>
        <w:rPr>
          <w:sz w:val="22"/>
          <w:szCs w:val="22"/>
        </w:rPr>
        <w:t>A</w:t>
      </w:r>
      <w:r w:rsidR="00C87A25" w:rsidRPr="00524F20">
        <w:rPr>
          <w:sz w:val="22"/>
          <w:szCs w:val="22"/>
        </w:rPr>
        <w:t xml:space="preserve">ffordable </w:t>
      </w:r>
      <w:r w:rsidR="00C87A25">
        <w:rPr>
          <w:sz w:val="22"/>
          <w:szCs w:val="22"/>
        </w:rPr>
        <w:t xml:space="preserve">private </w:t>
      </w:r>
      <w:r w:rsidR="00C87A25" w:rsidRPr="00524F20">
        <w:rPr>
          <w:sz w:val="22"/>
          <w:szCs w:val="22"/>
        </w:rPr>
        <w:t>rental</w:t>
      </w:r>
      <w:r w:rsidR="00C87A25">
        <w:rPr>
          <w:sz w:val="22"/>
          <w:szCs w:val="22"/>
        </w:rPr>
        <w:t xml:space="preserve"> housing</w:t>
      </w:r>
      <w:r w:rsidR="00C87A25" w:rsidRPr="00524F20">
        <w:rPr>
          <w:sz w:val="22"/>
          <w:szCs w:val="22"/>
        </w:rPr>
        <w:t xml:space="preserve">, as measured by new rental bonds lodged that were affordable to low income households, declined by </w:t>
      </w:r>
      <w:r>
        <w:rPr>
          <w:sz w:val="22"/>
          <w:szCs w:val="22"/>
        </w:rPr>
        <w:t>16.2</w:t>
      </w:r>
      <w:r w:rsidR="00C87A25" w:rsidRPr="00524F20">
        <w:rPr>
          <w:sz w:val="22"/>
          <w:szCs w:val="22"/>
        </w:rPr>
        <w:t xml:space="preserve">% </w:t>
      </w:r>
      <w:r w:rsidR="00C87A25">
        <w:rPr>
          <w:sz w:val="22"/>
          <w:szCs w:val="22"/>
        </w:rPr>
        <w:t xml:space="preserve">in </w:t>
      </w:r>
      <w:r>
        <w:rPr>
          <w:sz w:val="22"/>
          <w:szCs w:val="22"/>
        </w:rPr>
        <w:t>Eastern</w:t>
      </w:r>
      <w:r w:rsidR="00C87A25">
        <w:rPr>
          <w:sz w:val="22"/>
          <w:szCs w:val="22"/>
        </w:rPr>
        <w:t xml:space="preserve"> City</w:t>
      </w:r>
      <w:r w:rsidR="00C87A25" w:rsidRPr="00524F20">
        <w:rPr>
          <w:sz w:val="22"/>
          <w:szCs w:val="22"/>
        </w:rPr>
        <w:t xml:space="preserve"> </w:t>
      </w:r>
      <w:r w:rsidR="00C87A25">
        <w:rPr>
          <w:sz w:val="22"/>
          <w:szCs w:val="22"/>
        </w:rPr>
        <w:t xml:space="preserve">just </w:t>
      </w:r>
      <w:r w:rsidR="00C87A25" w:rsidRPr="007F5E5F">
        <w:rPr>
          <w:sz w:val="22"/>
          <w:szCs w:val="22"/>
        </w:rPr>
        <w:t>between 20</w:t>
      </w:r>
      <w:r w:rsidR="00C87A25">
        <w:rPr>
          <w:sz w:val="22"/>
          <w:szCs w:val="22"/>
        </w:rPr>
        <w:t>21</w:t>
      </w:r>
      <w:r w:rsidR="00C87A25" w:rsidRPr="007F5E5F">
        <w:rPr>
          <w:sz w:val="22"/>
          <w:szCs w:val="22"/>
        </w:rPr>
        <w:t xml:space="preserve"> and 20</w:t>
      </w:r>
      <w:r w:rsidR="00C87A25">
        <w:rPr>
          <w:sz w:val="22"/>
          <w:szCs w:val="22"/>
        </w:rPr>
        <w:t>22</w:t>
      </w:r>
      <w:r w:rsidR="00C87A25" w:rsidRPr="007F5E5F">
        <w:rPr>
          <w:sz w:val="22"/>
          <w:szCs w:val="22"/>
        </w:rPr>
        <w:t>.</w:t>
      </w:r>
    </w:p>
    <w:p w14:paraId="68AFCE28" w14:textId="77777777" w:rsidR="00C87A25" w:rsidRPr="007F5E5F" w:rsidRDefault="00C87A25" w:rsidP="00C87A25">
      <w:pPr>
        <w:numPr>
          <w:ilvl w:val="0"/>
          <w:numId w:val="22"/>
        </w:numPr>
        <w:tabs>
          <w:tab w:val="clear" w:pos="720"/>
          <w:tab w:val="num" w:pos="360"/>
        </w:tabs>
        <w:spacing w:before="0" w:after="0"/>
        <w:ind w:left="360"/>
        <w:rPr>
          <w:sz w:val="22"/>
          <w:szCs w:val="22"/>
        </w:rPr>
      </w:pPr>
      <w:r>
        <w:rPr>
          <w:sz w:val="22"/>
          <w:szCs w:val="22"/>
        </w:rPr>
        <w:t>T</w:t>
      </w:r>
      <w:r w:rsidRPr="007F5E5F">
        <w:rPr>
          <w:sz w:val="22"/>
          <w:szCs w:val="22"/>
        </w:rPr>
        <w:t>here is a clear need for more affordable rental accommodation to begin to address the significant demand supply imbalance, particularly for lower income households and the increasing number of seniors and frail aged.</w:t>
      </w:r>
    </w:p>
    <w:p w14:paraId="3B84D45C" w14:textId="756F5DF2" w:rsidR="00C87A25" w:rsidRPr="00EF4F73" w:rsidRDefault="00C87A25" w:rsidP="00C87A25">
      <w:pPr>
        <w:numPr>
          <w:ilvl w:val="0"/>
          <w:numId w:val="22"/>
        </w:numPr>
        <w:tabs>
          <w:tab w:val="clear" w:pos="720"/>
          <w:tab w:val="num" w:pos="360"/>
        </w:tabs>
        <w:spacing w:before="0" w:after="0"/>
        <w:ind w:left="360"/>
        <w:rPr>
          <w:sz w:val="22"/>
          <w:szCs w:val="22"/>
        </w:rPr>
      </w:pPr>
      <w:r>
        <w:rPr>
          <w:sz w:val="22"/>
          <w:szCs w:val="22"/>
        </w:rPr>
        <w:t>T</w:t>
      </w:r>
      <w:r w:rsidRPr="00EF4F73">
        <w:rPr>
          <w:sz w:val="22"/>
          <w:szCs w:val="22"/>
        </w:rPr>
        <w:t xml:space="preserve">he vacancy rate in </w:t>
      </w:r>
      <w:r>
        <w:rPr>
          <w:sz w:val="22"/>
          <w:szCs w:val="22"/>
        </w:rPr>
        <w:t xml:space="preserve">Sydney and regional areas of NSW has been tight for over a year, indicating a chronic shortage of rental accommodation.  At </w:t>
      </w:r>
      <w:r w:rsidR="002872C6">
        <w:rPr>
          <w:sz w:val="22"/>
          <w:szCs w:val="22"/>
        </w:rPr>
        <w:t>April</w:t>
      </w:r>
      <w:r>
        <w:rPr>
          <w:sz w:val="22"/>
          <w:szCs w:val="22"/>
        </w:rPr>
        <w:t xml:space="preserve"> 2023 the vacancy rate was just 1.3% in Sydney overall, with </w:t>
      </w:r>
      <w:r w:rsidR="004219D1">
        <w:rPr>
          <w:sz w:val="22"/>
          <w:szCs w:val="22"/>
        </w:rPr>
        <w:t>1.</w:t>
      </w:r>
      <w:r w:rsidR="002872C6">
        <w:rPr>
          <w:sz w:val="22"/>
          <w:szCs w:val="22"/>
        </w:rPr>
        <w:t>5</w:t>
      </w:r>
      <w:r w:rsidR="004219D1">
        <w:rPr>
          <w:sz w:val="22"/>
          <w:szCs w:val="22"/>
        </w:rPr>
        <w:t xml:space="preserve">% in the inner ring and </w:t>
      </w:r>
      <w:r w:rsidR="002872C6">
        <w:rPr>
          <w:sz w:val="22"/>
          <w:szCs w:val="22"/>
        </w:rPr>
        <w:t>1.2</w:t>
      </w:r>
      <w:r>
        <w:rPr>
          <w:sz w:val="22"/>
          <w:szCs w:val="22"/>
        </w:rPr>
        <w:t xml:space="preserve">% in the middle ring. </w:t>
      </w:r>
    </w:p>
    <w:p w14:paraId="71D3A29D" w14:textId="77777777" w:rsidR="00C87A25" w:rsidRPr="000B3392" w:rsidRDefault="00C87A25" w:rsidP="00C87A25">
      <w:pPr>
        <w:numPr>
          <w:ilvl w:val="0"/>
          <w:numId w:val="22"/>
        </w:numPr>
        <w:tabs>
          <w:tab w:val="clear" w:pos="720"/>
          <w:tab w:val="num" w:pos="360"/>
        </w:tabs>
        <w:spacing w:before="0" w:after="0"/>
        <w:ind w:left="360"/>
        <w:rPr>
          <w:sz w:val="22"/>
          <w:szCs w:val="22"/>
        </w:rPr>
      </w:pPr>
      <w:r w:rsidRPr="000B3392">
        <w:rPr>
          <w:sz w:val="22"/>
          <w:szCs w:val="22"/>
        </w:rPr>
        <w:t>The strong increase in rental levels, decline in rental affordability for lower income earners and significant loss of affordable</w:t>
      </w:r>
      <w:r w:rsidR="00D336DA">
        <w:rPr>
          <w:sz w:val="22"/>
          <w:szCs w:val="22"/>
        </w:rPr>
        <w:t xml:space="preserve"> private</w:t>
      </w:r>
      <w:r w:rsidRPr="000B3392">
        <w:rPr>
          <w:sz w:val="22"/>
          <w:szCs w:val="22"/>
        </w:rPr>
        <w:t xml:space="preserve"> rental properties, combined with the increase in both low income </w:t>
      </w:r>
      <w:r w:rsidR="004219D1">
        <w:rPr>
          <w:sz w:val="22"/>
          <w:szCs w:val="22"/>
        </w:rPr>
        <w:t xml:space="preserve">rental households </w:t>
      </w:r>
      <w:r w:rsidRPr="000B3392">
        <w:rPr>
          <w:sz w:val="22"/>
          <w:szCs w:val="22"/>
        </w:rPr>
        <w:t>and low income households</w:t>
      </w:r>
      <w:r w:rsidR="004219D1">
        <w:rPr>
          <w:sz w:val="22"/>
          <w:szCs w:val="22"/>
        </w:rPr>
        <w:t xml:space="preserve"> in rental stress</w:t>
      </w:r>
      <w:r w:rsidRPr="000B3392">
        <w:rPr>
          <w:sz w:val="22"/>
          <w:szCs w:val="22"/>
        </w:rPr>
        <w:t>, further demonstrates the need to increase the supply of affordable rental housing for long</w:t>
      </w:r>
      <w:r w:rsidR="00736882">
        <w:rPr>
          <w:sz w:val="22"/>
          <w:szCs w:val="22"/>
        </w:rPr>
        <w:t xml:space="preserve"> term tenants.   There is some evidence that short term rental for tourists is negatively impacting the availability of longer term rental housing for tenants in Eastern City.</w:t>
      </w:r>
    </w:p>
    <w:p w14:paraId="5F124F07" w14:textId="77777777" w:rsidR="00C87A25" w:rsidRPr="00764861" w:rsidRDefault="00C87A25" w:rsidP="00C87A25">
      <w:pPr>
        <w:numPr>
          <w:ilvl w:val="0"/>
          <w:numId w:val="22"/>
        </w:numPr>
        <w:tabs>
          <w:tab w:val="clear" w:pos="720"/>
          <w:tab w:val="num" w:pos="360"/>
        </w:tabs>
        <w:spacing w:before="0" w:after="0"/>
        <w:ind w:left="360"/>
        <w:rPr>
          <w:sz w:val="22"/>
          <w:szCs w:val="22"/>
        </w:rPr>
      </w:pPr>
      <w:r w:rsidRPr="00764861">
        <w:rPr>
          <w:sz w:val="22"/>
          <w:szCs w:val="22"/>
        </w:rPr>
        <w:t xml:space="preserve">The graph below </w:t>
      </w:r>
      <w:r>
        <w:rPr>
          <w:sz w:val="22"/>
          <w:szCs w:val="22"/>
        </w:rPr>
        <w:t xml:space="preserve">shows the decline in </w:t>
      </w:r>
      <w:r w:rsidRPr="00764861">
        <w:rPr>
          <w:sz w:val="22"/>
          <w:szCs w:val="22"/>
        </w:rPr>
        <w:t>the number of new bonds lodged that were affordable to rent for low income households</w:t>
      </w:r>
      <w:r>
        <w:rPr>
          <w:sz w:val="22"/>
          <w:szCs w:val="22"/>
        </w:rPr>
        <w:t xml:space="preserve"> in </w:t>
      </w:r>
      <w:r w:rsidR="00736882">
        <w:rPr>
          <w:sz w:val="22"/>
          <w:szCs w:val="22"/>
        </w:rPr>
        <w:t>Eastern</w:t>
      </w:r>
      <w:r>
        <w:rPr>
          <w:sz w:val="22"/>
          <w:szCs w:val="22"/>
        </w:rPr>
        <w:t xml:space="preserve"> City </w:t>
      </w:r>
      <w:r w:rsidR="00597324">
        <w:rPr>
          <w:sz w:val="22"/>
          <w:szCs w:val="22"/>
        </w:rPr>
        <w:t>between</w:t>
      </w:r>
      <w:r>
        <w:rPr>
          <w:sz w:val="22"/>
          <w:szCs w:val="22"/>
        </w:rPr>
        <w:t xml:space="preserve"> 2021 and 2022</w:t>
      </w:r>
      <w:r w:rsidRPr="00764861">
        <w:rPr>
          <w:sz w:val="22"/>
          <w:szCs w:val="22"/>
        </w:rPr>
        <w:t xml:space="preserve">. </w:t>
      </w:r>
    </w:p>
    <w:p w14:paraId="5C6EB242" w14:textId="77777777" w:rsidR="00C87A25" w:rsidRDefault="00C87A25" w:rsidP="00736882">
      <w:pPr>
        <w:pStyle w:val="ListParagraph"/>
        <w:ind w:left="360"/>
        <w:rPr>
          <w:sz w:val="22"/>
        </w:rPr>
      </w:pPr>
    </w:p>
    <w:p w14:paraId="1DB96B57" w14:textId="77777777" w:rsidR="00736882" w:rsidRDefault="00736882" w:rsidP="00736882">
      <w:pPr>
        <w:pStyle w:val="ListParagraph"/>
        <w:ind w:left="360"/>
        <w:rPr>
          <w:sz w:val="22"/>
        </w:rPr>
      </w:pPr>
      <w:r>
        <w:rPr>
          <w:noProof/>
          <w:sz w:val="22"/>
        </w:rPr>
        <w:lastRenderedPageBreak/>
        <w:drawing>
          <wp:inline distT="0" distB="0" distL="0" distR="0" wp14:anchorId="1E1FC92D" wp14:editId="4475728D">
            <wp:extent cx="5346700" cy="296291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6700" cy="2962910"/>
                    </a:xfrm>
                    <a:prstGeom prst="rect">
                      <a:avLst/>
                    </a:prstGeom>
                    <a:noFill/>
                  </pic:spPr>
                </pic:pic>
              </a:graphicData>
            </a:graphic>
          </wp:inline>
        </w:drawing>
      </w:r>
    </w:p>
    <w:p w14:paraId="6D57A884" w14:textId="77777777" w:rsidR="00736882" w:rsidRDefault="00736882" w:rsidP="00736882">
      <w:pPr>
        <w:pStyle w:val="ListParagraph"/>
        <w:ind w:left="360"/>
        <w:rPr>
          <w:sz w:val="22"/>
        </w:rPr>
      </w:pPr>
    </w:p>
    <w:p w14:paraId="56E8CDD5" w14:textId="77777777" w:rsidR="007003C3" w:rsidRDefault="007003C3" w:rsidP="007003C3">
      <w:pPr>
        <w:numPr>
          <w:ilvl w:val="0"/>
          <w:numId w:val="2"/>
        </w:numPr>
        <w:spacing w:before="0" w:after="0"/>
        <w:rPr>
          <w:sz w:val="22"/>
          <w:szCs w:val="22"/>
        </w:rPr>
      </w:pPr>
      <w:r>
        <w:rPr>
          <w:sz w:val="22"/>
          <w:szCs w:val="22"/>
        </w:rPr>
        <w:t xml:space="preserve">The next graph compares changes in population, income, renters and housing stress between 2016 and 2021.  It is clear that low income households declined while population has increased between 2016 and 2021 in Eastern City.  Yet low income </w:t>
      </w:r>
      <w:r w:rsidRPr="00E1166C">
        <w:rPr>
          <w:b/>
          <w:sz w:val="22"/>
          <w:szCs w:val="22"/>
        </w:rPr>
        <w:t>rental</w:t>
      </w:r>
      <w:r>
        <w:rPr>
          <w:sz w:val="22"/>
          <w:szCs w:val="22"/>
        </w:rPr>
        <w:t xml:space="preserve"> households have increased as have low income rental households in housing stress.  Of note also is that the number of CRA recipients are growing more quickly than the population generally, and CRA recipients in housing stress are increasing more rapidly than low income </w:t>
      </w:r>
      <w:r w:rsidR="007E708A">
        <w:rPr>
          <w:sz w:val="22"/>
          <w:szCs w:val="22"/>
        </w:rPr>
        <w:t xml:space="preserve">rental </w:t>
      </w:r>
      <w:r>
        <w:rPr>
          <w:sz w:val="22"/>
          <w:szCs w:val="22"/>
        </w:rPr>
        <w:t xml:space="preserve">households in </w:t>
      </w:r>
      <w:r w:rsidR="007E708A">
        <w:rPr>
          <w:sz w:val="22"/>
          <w:szCs w:val="22"/>
        </w:rPr>
        <w:t>Eastern Cit</w:t>
      </w:r>
      <w:r>
        <w:rPr>
          <w:sz w:val="22"/>
          <w:szCs w:val="22"/>
        </w:rPr>
        <w:t>y.</w:t>
      </w:r>
    </w:p>
    <w:p w14:paraId="3C2D4436" w14:textId="77777777" w:rsidR="00C87A25" w:rsidRDefault="00C87A25" w:rsidP="007003C3">
      <w:pPr>
        <w:rPr>
          <w:sz w:val="22"/>
        </w:rPr>
      </w:pPr>
    </w:p>
    <w:p w14:paraId="2F9EB1AC" w14:textId="07989B32" w:rsidR="007003C3" w:rsidRPr="007003C3" w:rsidRDefault="00A37B5D" w:rsidP="007003C3">
      <w:pPr>
        <w:rPr>
          <w:sz w:val="22"/>
        </w:rPr>
      </w:pPr>
      <w:r>
        <w:rPr>
          <w:noProof/>
          <w:sz w:val="22"/>
        </w:rPr>
        <w:drawing>
          <wp:inline distT="0" distB="0" distL="0" distR="0" wp14:anchorId="0DBF954B" wp14:editId="001DC812">
            <wp:extent cx="6202045" cy="2436847"/>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22203" cy="2444767"/>
                    </a:xfrm>
                    <a:prstGeom prst="rect">
                      <a:avLst/>
                    </a:prstGeom>
                    <a:noFill/>
                  </pic:spPr>
                </pic:pic>
              </a:graphicData>
            </a:graphic>
          </wp:inline>
        </w:drawing>
      </w:r>
    </w:p>
    <w:p w14:paraId="7612D618" w14:textId="77777777" w:rsidR="00C049BD" w:rsidRPr="002D0174" w:rsidRDefault="00C049BD" w:rsidP="00C049BD">
      <w:pPr>
        <w:pStyle w:val="ListParagraph"/>
        <w:numPr>
          <w:ilvl w:val="0"/>
          <w:numId w:val="23"/>
        </w:numPr>
        <w:spacing w:before="0" w:after="0"/>
        <w:rPr>
          <w:sz w:val="22"/>
          <w:szCs w:val="22"/>
        </w:rPr>
      </w:pPr>
      <w:r w:rsidRPr="002D0174">
        <w:rPr>
          <w:sz w:val="22"/>
          <w:szCs w:val="22"/>
        </w:rPr>
        <w:t xml:space="preserve">This </w:t>
      </w:r>
      <w:r>
        <w:rPr>
          <w:sz w:val="22"/>
          <w:szCs w:val="22"/>
        </w:rPr>
        <w:t>again</w:t>
      </w:r>
      <w:r w:rsidRPr="002D0174">
        <w:rPr>
          <w:sz w:val="22"/>
          <w:szCs w:val="22"/>
        </w:rPr>
        <w:t xml:space="preserve"> demonstrates the increase in demand and need for affordable rental housing in </w:t>
      </w:r>
      <w:r>
        <w:rPr>
          <w:sz w:val="22"/>
          <w:szCs w:val="22"/>
        </w:rPr>
        <w:t>Eastern</w:t>
      </w:r>
      <w:r w:rsidRPr="002D0174">
        <w:rPr>
          <w:sz w:val="22"/>
          <w:szCs w:val="22"/>
        </w:rPr>
        <w:t xml:space="preserve"> C</w:t>
      </w:r>
      <w:r>
        <w:rPr>
          <w:sz w:val="22"/>
          <w:szCs w:val="22"/>
        </w:rPr>
        <w:t>ity, despite the decline in low income households</w:t>
      </w:r>
      <w:r w:rsidRPr="002D0174">
        <w:rPr>
          <w:sz w:val="22"/>
          <w:szCs w:val="22"/>
        </w:rPr>
        <w:t>.</w:t>
      </w:r>
    </w:p>
    <w:p w14:paraId="4BAC42EA" w14:textId="77777777" w:rsidR="00426CC1" w:rsidRDefault="00426CC1" w:rsidP="00C049BD">
      <w:pPr>
        <w:numPr>
          <w:ilvl w:val="0"/>
          <w:numId w:val="22"/>
        </w:numPr>
        <w:tabs>
          <w:tab w:val="clear" w:pos="720"/>
          <w:tab w:val="num" w:pos="360"/>
        </w:tabs>
        <w:spacing w:before="0" w:after="0"/>
        <w:ind w:left="360"/>
        <w:rPr>
          <w:sz w:val="22"/>
          <w:szCs w:val="22"/>
        </w:rPr>
      </w:pPr>
      <w:r>
        <w:rPr>
          <w:sz w:val="22"/>
          <w:szCs w:val="22"/>
        </w:rPr>
        <w:t>Eastern City has a better mix of bedroom numbers with respect to household size than any other District in Greater Sydney or region of NSW</w:t>
      </w:r>
      <w:r w:rsidR="00C049BD" w:rsidRPr="00763078">
        <w:rPr>
          <w:sz w:val="22"/>
          <w:szCs w:val="22"/>
        </w:rPr>
        <w:t xml:space="preserve">. </w:t>
      </w:r>
      <w:r>
        <w:rPr>
          <w:sz w:val="22"/>
          <w:szCs w:val="22"/>
        </w:rPr>
        <w:t xml:space="preserve"> Nevertheless, with an aging population and significant affordability issues, it is important to ensure a range of housing and a good bedroom mix to meet current and future demand.</w:t>
      </w:r>
    </w:p>
    <w:p w14:paraId="2A8FEFF0" w14:textId="77777777" w:rsidR="00F4070B" w:rsidRDefault="00C049BD" w:rsidP="003E4ED8">
      <w:pPr>
        <w:numPr>
          <w:ilvl w:val="0"/>
          <w:numId w:val="22"/>
        </w:numPr>
        <w:tabs>
          <w:tab w:val="clear" w:pos="720"/>
          <w:tab w:val="num" w:pos="360"/>
        </w:tabs>
        <w:spacing w:before="0" w:after="0"/>
        <w:ind w:left="360"/>
        <w:rPr>
          <w:sz w:val="22"/>
          <w:szCs w:val="22"/>
        </w:rPr>
      </w:pPr>
      <w:r w:rsidRPr="00F4070B">
        <w:rPr>
          <w:sz w:val="22"/>
          <w:szCs w:val="22"/>
        </w:rPr>
        <w:lastRenderedPageBreak/>
        <w:t xml:space="preserve">The graph below compares the number of smaller household types - lone person and couple only – with the amount of studio and one bedroom accommodation available. </w:t>
      </w:r>
      <w:r w:rsidR="00F4070B" w:rsidRPr="00F4070B">
        <w:rPr>
          <w:sz w:val="22"/>
          <w:szCs w:val="22"/>
        </w:rPr>
        <w:t xml:space="preserve">While smaller households have more choice in Eastern City than other districts, the proportion of studio dwellings is still very small and only City of Sydney has a </w:t>
      </w:r>
      <w:r w:rsidR="0089237A">
        <w:rPr>
          <w:sz w:val="22"/>
          <w:szCs w:val="22"/>
        </w:rPr>
        <w:t>significant</w:t>
      </w:r>
      <w:r w:rsidR="00F4070B" w:rsidRPr="00F4070B">
        <w:rPr>
          <w:sz w:val="22"/>
          <w:szCs w:val="22"/>
        </w:rPr>
        <w:t xml:space="preserve"> proportion of one bedroom homes.</w:t>
      </w:r>
      <w:r w:rsidRPr="00F4070B">
        <w:rPr>
          <w:sz w:val="22"/>
          <w:szCs w:val="22"/>
        </w:rPr>
        <w:t xml:space="preserve">  </w:t>
      </w:r>
      <w:r w:rsidR="00776402">
        <w:rPr>
          <w:sz w:val="22"/>
          <w:szCs w:val="22"/>
        </w:rPr>
        <w:t>This means smaller households must share housing to make housing more affordable.</w:t>
      </w:r>
    </w:p>
    <w:p w14:paraId="6EF4975C" w14:textId="77777777" w:rsidR="00C049BD" w:rsidRDefault="00C049BD" w:rsidP="00C049BD">
      <w:pPr>
        <w:numPr>
          <w:ilvl w:val="0"/>
          <w:numId w:val="22"/>
        </w:numPr>
        <w:tabs>
          <w:tab w:val="clear" w:pos="720"/>
          <w:tab w:val="num" w:pos="360"/>
        </w:tabs>
        <w:spacing w:before="0" w:after="0"/>
        <w:ind w:left="36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Pr>
          <w:sz w:val="22"/>
          <w:szCs w:val="22"/>
        </w:rPr>
        <w:t xml:space="preserve">  This will become increasingly important as the population of </w:t>
      </w:r>
      <w:r w:rsidR="00776402">
        <w:rPr>
          <w:sz w:val="22"/>
          <w:szCs w:val="22"/>
        </w:rPr>
        <w:t>Eastern</w:t>
      </w:r>
      <w:r>
        <w:rPr>
          <w:sz w:val="22"/>
          <w:szCs w:val="22"/>
        </w:rPr>
        <w:t xml:space="preserve"> City is forecast to have an increase in older age groups.</w:t>
      </w:r>
    </w:p>
    <w:p w14:paraId="385FA812" w14:textId="77777777" w:rsidR="00776402" w:rsidRPr="00763078" w:rsidRDefault="00776402" w:rsidP="00C049BD">
      <w:pPr>
        <w:numPr>
          <w:ilvl w:val="0"/>
          <w:numId w:val="22"/>
        </w:numPr>
        <w:tabs>
          <w:tab w:val="clear" w:pos="720"/>
          <w:tab w:val="num" w:pos="360"/>
        </w:tabs>
        <w:spacing w:before="0" w:after="0"/>
        <w:ind w:left="360"/>
        <w:rPr>
          <w:sz w:val="22"/>
          <w:szCs w:val="22"/>
        </w:rPr>
      </w:pPr>
      <w:r>
        <w:rPr>
          <w:sz w:val="22"/>
          <w:szCs w:val="22"/>
        </w:rPr>
        <w:t xml:space="preserve">However, two bedroom dwellings are the most flexible, given they can suit lone person, couple only, small family and small share households.  Eastern City has a significant proportion of two bedroom homes.  This is to be encouraged as it also is helpful for older single </w:t>
      </w:r>
      <w:r w:rsidR="00010429">
        <w:rPr>
          <w:sz w:val="22"/>
          <w:szCs w:val="22"/>
        </w:rPr>
        <w:t xml:space="preserve">and couple </w:t>
      </w:r>
      <w:r>
        <w:rPr>
          <w:sz w:val="22"/>
          <w:szCs w:val="22"/>
        </w:rPr>
        <w:t xml:space="preserve">households, allowing them </w:t>
      </w:r>
      <w:r w:rsidR="00010429">
        <w:rPr>
          <w:sz w:val="22"/>
          <w:szCs w:val="22"/>
        </w:rPr>
        <w:t xml:space="preserve">to downsize to a more manageable home with </w:t>
      </w:r>
      <w:r>
        <w:rPr>
          <w:sz w:val="22"/>
          <w:szCs w:val="22"/>
        </w:rPr>
        <w:t>an extra bedroom for family, visitors or carers to stay.</w:t>
      </w:r>
    </w:p>
    <w:p w14:paraId="48BF99EC" w14:textId="77777777" w:rsidR="00C87A25" w:rsidRDefault="00C87A25" w:rsidP="00F4070B">
      <w:pPr>
        <w:rPr>
          <w:sz w:val="22"/>
        </w:rPr>
      </w:pPr>
    </w:p>
    <w:p w14:paraId="7980D556" w14:textId="77777777" w:rsidR="00F4070B" w:rsidRDefault="00F4070B" w:rsidP="00F4070B">
      <w:pPr>
        <w:rPr>
          <w:sz w:val="22"/>
        </w:rPr>
      </w:pPr>
      <w:r>
        <w:rPr>
          <w:noProof/>
          <w:sz w:val="22"/>
        </w:rPr>
        <w:drawing>
          <wp:inline distT="0" distB="0" distL="0" distR="0" wp14:anchorId="09388A2B" wp14:editId="591941ED">
            <wp:extent cx="6227618" cy="2946400"/>
            <wp:effectExtent l="0" t="0" r="190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7975" cy="2956031"/>
                    </a:xfrm>
                    <a:prstGeom prst="rect">
                      <a:avLst/>
                    </a:prstGeom>
                    <a:noFill/>
                  </pic:spPr>
                </pic:pic>
              </a:graphicData>
            </a:graphic>
          </wp:inline>
        </w:drawing>
      </w:r>
    </w:p>
    <w:p w14:paraId="5E8545F1" w14:textId="77777777" w:rsidR="008D0556" w:rsidRDefault="008D0556" w:rsidP="00F4070B">
      <w:pPr>
        <w:rPr>
          <w:sz w:val="22"/>
        </w:rPr>
      </w:pPr>
    </w:p>
    <w:p w14:paraId="39D91893" w14:textId="77777777" w:rsidR="008D0556" w:rsidRPr="00177837" w:rsidRDefault="008D0556" w:rsidP="008D0556">
      <w:pPr>
        <w:numPr>
          <w:ilvl w:val="0"/>
          <w:numId w:val="22"/>
        </w:numPr>
        <w:tabs>
          <w:tab w:val="clear" w:pos="720"/>
          <w:tab w:val="num" w:pos="360"/>
        </w:tabs>
        <w:spacing w:before="0" w:after="0"/>
        <w:ind w:left="360"/>
        <w:rPr>
          <w:sz w:val="22"/>
          <w:szCs w:val="22"/>
        </w:rPr>
      </w:pPr>
      <w:r w:rsidRPr="00177837">
        <w:rPr>
          <w:sz w:val="22"/>
          <w:szCs w:val="22"/>
        </w:rPr>
        <w:t xml:space="preserve">While there has been an increase in studio and </w:t>
      </w:r>
      <w:r>
        <w:rPr>
          <w:sz w:val="22"/>
          <w:szCs w:val="22"/>
        </w:rPr>
        <w:t xml:space="preserve">particularly </w:t>
      </w:r>
      <w:r w:rsidRPr="00177837">
        <w:rPr>
          <w:sz w:val="22"/>
          <w:szCs w:val="22"/>
        </w:rPr>
        <w:t>one bedroom homes since the 2016 Census</w:t>
      </w:r>
      <w:r>
        <w:rPr>
          <w:sz w:val="22"/>
          <w:szCs w:val="22"/>
        </w:rPr>
        <w:t xml:space="preserve"> (a total of 11,686 combined)</w:t>
      </w:r>
      <w:r w:rsidRPr="00177837">
        <w:rPr>
          <w:sz w:val="22"/>
          <w:szCs w:val="22"/>
        </w:rPr>
        <w:t xml:space="preserve">, the number is outweighed by the increase in the number of </w:t>
      </w:r>
      <w:r>
        <w:rPr>
          <w:sz w:val="22"/>
          <w:szCs w:val="22"/>
        </w:rPr>
        <w:t xml:space="preserve">three and </w:t>
      </w:r>
      <w:r w:rsidRPr="00177837">
        <w:rPr>
          <w:sz w:val="22"/>
          <w:szCs w:val="22"/>
        </w:rPr>
        <w:t xml:space="preserve">four </w:t>
      </w:r>
      <w:r>
        <w:rPr>
          <w:sz w:val="22"/>
          <w:szCs w:val="22"/>
        </w:rPr>
        <w:t xml:space="preserve">and more </w:t>
      </w:r>
      <w:r w:rsidRPr="00177837">
        <w:rPr>
          <w:sz w:val="22"/>
          <w:szCs w:val="22"/>
        </w:rPr>
        <w:t>bedroom homes</w:t>
      </w:r>
      <w:r>
        <w:rPr>
          <w:sz w:val="22"/>
          <w:szCs w:val="22"/>
        </w:rPr>
        <w:t xml:space="preserve"> (a total of 14,357)</w:t>
      </w:r>
      <w:r w:rsidRPr="00177837">
        <w:rPr>
          <w:sz w:val="22"/>
          <w:szCs w:val="22"/>
        </w:rPr>
        <w:t xml:space="preserve">, as </w:t>
      </w:r>
      <w:r>
        <w:rPr>
          <w:sz w:val="22"/>
          <w:szCs w:val="22"/>
        </w:rPr>
        <w:t>indicated</w:t>
      </w:r>
      <w:r w:rsidRPr="00177837">
        <w:rPr>
          <w:sz w:val="22"/>
          <w:szCs w:val="22"/>
        </w:rPr>
        <w:t xml:space="preserve"> in the graph below.  Although notably there has been a strong increase in two bedroom properties, which helps provide flexibility in housing supply.</w:t>
      </w:r>
    </w:p>
    <w:p w14:paraId="58909A10" w14:textId="77777777" w:rsidR="008D0556" w:rsidRDefault="008D0556" w:rsidP="00F4070B">
      <w:pPr>
        <w:rPr>
          <w:sz w:val="22"/>
        </w:rPr>
      </w:pPr>
    </w:p>
    <w:p w14:paraId="3E734FC6" w14:textId="77777777" w:rsidR="00F4070B" w:rsidRDefault="008A325F" w:rsidP="00F4070B">
      <w:pPr>
        <w:rPr>
          <w:sz w:val="22"/>
        </w:rPr>
      </w:pPr>
      <w:r>
        <w:rPr>
          <w:noProof/>
          <w:sz w:val="22"/>
        </w:rPr>
        <w:lastRenderedPageBreak/>
        <w:drawing>
          <wp:inline distT="0" distB="0" distL="0" distR="0" wp14:anchorId="390304AE" wp14:editId="43D74A0C">
            <wp:extent cx="5340350" cy="30848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0350" cy="3084830"/>
                    </a:xfrm>
                    <a:prstGeom prst="rect">
                      <a:avLst/>
                    </a:prstGeom>
                    <a:noFill/>
                  </pic:spPr>
                </pic:pic>
              </a:graphicData>
            </a:graphic>
          </wp:inline>
        </w:drawing>
      </w:r>
    </w:p>
    <w:p w14:paraId="68C83159" w14:textId="77777777" w:rsidR="008A325F" w:rsidRPr="00F4070B" w:rsidRDefault="008A325F" w:rsidP="00F4070B">
      <w:pPr>
        <w:rPr>
          <w:sz w:val="22"/>
        </w:rPr>
      </w:pPr>
    </w:p>
    <w:p w14:paraId="631A1C0A" w14:textId="77777777" w:rsidR="008D0556" w:rsidRPr="00A762AF" w:rsidRDefault="008D0556" w:rsidP="008D0556">
      <w:pPr>
        <w:numPr>
          <w:ilvl w:val="0"/>
          <w:numId w:val="2"/>
        </w:numPr>
        <w:spacing w:before="0" w:after="0"/>
        <w:rPr>
          <w:sz w:val="22"/>
          <w:szCs w:val="22"/>
        </w:rPr>
      </w:pPr>
      <w:r w:rsidRPr="00A762AF">
        <w:rPr>
          <w:sz w:val="22"/>
          <w:szCs w:val="22"/>
        </w:rPr>
        <w:t>A proactive stance is required to encourage an increase in studio</w:t>
      </w:r>
      <w:r>
        <w:rPr>
          <w:sz w:val="22"/>
          <w:szCs w:val="22"/>
        </w:rPr>
        <w:t xml:space="preserve"> and</w:t>
      </w:r>
      <w:r w:rsidRPr="00A762AF">
        <w:rPr>
          <w:sz w:val="22"/>
          <w:szCs w:val="22"/>
        </w:rPr>
        <w:t xml:space="preserve"> one bedroom properties.  This is important given that annually the addition of new dwellings represents around 1% of the total dwelling stock – so change occurs very slowly.  </w:t>
      </w:r>
      <w:r>
        <w:rPr>
          <w:sz w:val="22"/>
          <w:szCs w:val="22"/>
        </w:rPr>
        <w:t>There is also a need to take into account the impact of alterations and additions to existing stock, for example, adding extra bedrooms to two and three bedroom houses.  Continuing to encourage development of two bedroom homes is helpful.</w:t>
      </w:r>
    </w:p>
    <w:p w14:paraId="7BB29D5F" w14:textId="77777777" w:rsidR="008D0556" w:rsidRDefault="008D0556" w:rsidP="008D0556">
      <w:pPr>
        <w:numPr>
          <w:ilvl w:val="0"/>
          <w:numId w:val="2"/>
        </w:numPr>
        <w:spacing w:before="0" w:after="0"/>
        <w:rPr>
          <w:sz w:val="22"/>
          <w:szCs w:val="22"/>
        </w:rPr>
      </w:pPr>
      <w:r w:rsidRPr="00A762AF">
        <w:rPr>
          <w:sz w:val="22"/>
          <w:szCs w:val="22"/>
        </w:rPr>
        <w:t xml:space="preserve">New generation boarding houses would also help fulfil </w:t>
      </w:r>
      <w:r>
        <w:rPr>
          <w:sz w:val="22"/>
          <w:szCs w:val="22"/>
        </w:rPr>
        <w:t xml:space="preserve">some of </w:t>
      </w:r>
      <w:r w:rsidRPr="00A762AF">
        <w:rPr>
          <w:sz w:val="22"/>
          <w:szCs w:val="22"/>
        </w:rPr>
        <w:t xml:space="preserve">this demand – particularly as they cannot be subdivided and must provide rental accommodation.  Note that the NSW Community Housing Industry Association has an Affordable Housing Tool Kit to help deal with community resistance to affordable housing available on their website.  They also have a couple of excellent </w:t>
      </w:r>
      <w:proofErr w:type="spellStart"/>
      <w:r w:rsidRPr="00A762AF">
        <w:rPr>
          <w:sz w:val="22"/>
          <w:szCs w:val="22"/>
        </w:rPr>
        <w:t>vimeos</w:t>
      </w:r>
      <w:proofErr w:type="spellEnd"/>
      <w:r w:rsidRPr="00A762AF">
        <w:rPr>
          <w:sz w:val="22"/>
          <w:szCs w:val="22"/>
        </w:rPr>
        <w:t xml:space="preserve"> showcasing new generation boarding house developments and their tenants.</w:t>
      </w:r>
    </w:p>
    <w:p w14:paraId="0E4C3B61" w14:textId="77777777" w:rsidR="00DA7718" w:rsidRDefault="00DA7718" w:rsidP="00214162">
      <w:pPr>
        <w:numPr>
          <w:ilvl w:val="0"/>
          <w:numId w:val="2"/>
        </w:numPr>
        <w:spacing w:before="0" w:after="0"/>
        <w:rPr>
          <w:sz w:val="22"/>
          <w:szCs w:val="22"/>
        </w:rPr>
      </w:pPr>
      <w:r w:rsidRPr="00DA7718">
        <w:rPr>
          <w:sz w:val="22"/>
          <w:szCs w:val="22"/>
        </w:rPr>
        <w:t xml:space="preserve">The next graph compares larger household types – couple family with children, one parent family and group households – with the amount of two, three and four or more bedroom accommodation available. </w:t>
      </w:r>
      <w:r>
        <w:rPr>
          <w:sz w:val="22"/>
          <w:szCs w:val="22"/>
        </w:rPr>
        <w:t xml:space="preserve">The two graphs comparing household type with bedroom mix demonstrate that Eastern City has a better bedroom mix than the average for Greater Sydney and that some LGAs in the District have a better match between household size and bedroom number than others. </w:t>
      </w:r>
    </w:p>
    <w:p w14:paraId="1D8EA114" w14:textId="77777777" w:rsidR="00DA7718" w:rsidRDefault="00DA7718" w:rsidP="00DA7718">
      <w:pPr>
        <w:spacing w:before="0" w:after="0"/>
        <w:rPr>
          <w:sz w:val="22"/>
          <w:szCs w:val="22"/>
        </w:rPr>
      </w:pPr>
    </w:p>
    <w:p w14:paraId="03C62F85" w14:textId="77777777" w:rsidR="00DA7718" w:rsidRDefault="00DA7718" w:rsidP="00DA7718">
      <w:pPr>
        <w:spacing w:before="0" w:after="0"/>
        <w:rPr>
          <w:sz w:val="22"/>
          <w:szCs w:val="22"/>
        </w:rPr>
      </w:pPr>
    </w:p>
    <w:p w14:paraId="6519BE15" w14:textId="77777777" w:rsidR="00DA7718" w:rsidRPr="00A762AF" w:rsidRDefault="00DA7718" w:rsidP="00DA7718">
      <w:pPr>
        <w:spacing w:before="0" w:after="0"/>
        <w:rPr>
          <w:sz w:val="22"/>
          <w:szCs w:val="22"/>
        </w:rPr>
      </w:pPr>
      <w:r>
        <w:rPr>
          <w:noProof/>
          <w:sz w:val="22"/>
          <w:szCs w:val="22"/>
        </w:rPr>
        <w:lastRenderedPageBreak/>
        <w:drawing>
          <wp:inline distT="0" distB="0" distL="0" distR="0" wp14:anchorId="35408919" wp14:editId="07D85CA7">
            <wp:extent cx="6205220" cy="2850779"/>
            <wp:effectExtent l="0" t="0" r="508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9448" cy="2857316"/>
                    </a:xfrm>
                    <a:prstGeom prst="rect">
                      <a:avLst/>
                    </a:prstGeom>
                    <a:noFill/>
                  </pic:spPr>
                </pic:pic>
              </a:graphicData>
            </a:graphic>
          </wp:inline>
        </w:drawing>
      </w:r>
    </w:p>
    <w:p w14:paraId="279E1162" w14:textId="77777777" w:rsidR="00C87A25" w:rsidRPr="00DA7718" w:rsidRDefault="00C87A25" w:rsidP="00DA7718">
      <w:pPr>
        <w:rPr>
          <w:sz w:val="22"/>
        </w:rPr>
      </w:pPr>
    </w:p>
    <w:p w14:paraId="760DA9B3" w14:textId="77777777" w:rsidR="00DA7718" w:rsidRPr="00714E45" w:rsidRDefault="00DA7718" w:rsidP="00DA7718">
      <w:pPr>
        <w:rPr>
          <w:b/>
        </w:rPr>
      </w:pPr>
      <w:r w:rsidRPr="00714E45">
        <w:rPr>
          <w:b/>
        </w:rPr>
        <w:t>Who needs affordable housing</w:t>
      </w:r>
    </w:p>
    <w:p w14:paraId="053434B6" w14:textId="77777777" w:rsidR="00DA7718" w:rsidRPr="00E134C4" w:rsidRDefault="00DA7718" w:rsidP="00DA7718">
      <w:pPr>
        <w:pStyle w:val="ListParagraph"/>
        <w:numPr>
          <w:ilvl w:val="0"/>
          <w:numId w:val="2"/>
        </w:numPr>
        <w:rPr>
          <w:sz w:val="22"/>
        </w:rPr>
      </w:pPr>
      <w:r w:rsidRPr="00B309D7">
        <w:rPr>
          <w:sz w:val="22"/>
          <w:szCs w:val="22"/>
        </w:rPr>
        <w:t xml:space="preserve">A wide range of people need affordable housing.  Single income earners who fall into the low income category include aged care and disability workers, retail sales assistants, production workers, receptionists and early career child care workers.  </w:t>
      </w:r>
    </w:p>
    <w:p w14:paraId="3ED6E72F" w14:textId="77777777" w:rsidR="00DA7718" w:rsidRDefault="00DA7718" w:rsidP="00DA7718">
      <w:pPr>
        <w:pStyle w:val="ListParagraph"/>
        <w:numPr>
          <w:ilvl w:val="0"/>
          <w:numId w:val="2"/>
        </w:numPr>
        <w:rPr>
          <w:sz w:val="22"/>
          <w:szCs w:val="22"/>
        </w:rPr>
      </w:pPr>
      <w:r w:rsidRPr="00B309D7">
        <w:rPr>
          <w:sz w:val="22"/>
          <w:szCs w:val="22"/>
        </w:rPr>
        <w:t xml:space="preserve">People working in accommodation and food services comprise around </w:t>
      </w:r>
      <w:r w:rsidR="00687056">
        <w:rPr>
          <w:sz w:val="22"/>
          <w:szCs w:val="22"/>
        </w:rPr>
        <w:t>6.4</w:t>
      </w:r>
      <w:r w:rsidRPr="00B309D7">
        <w:rPr>
          <w:sz w:val="22"/>
          <w:szCs w:val="22"/>
        </w:rPr>
        <w:t xml:space="preserve">% of the workforce </w:t>
      </w:r>
      <w:r>
        <w:rPr>
          <w:sz w:val="22"/>
          <w:szCs w:val="22"/>
        </w:rPr>
        <w:t xml:space="preserve">living </w:t>
      </w:r>
      <w:r w:rsidRPr="00B309D7">
        <w:rPr>
          <w:sz w:val="22"/>
          <w:szCs w:val="22"/>
        </w:rPr>
        <w:t xml:space="preserve">in </w:t>
      </w:r>
      <w:r w:rsidR="00687056">
        <w:rPr>
          <w:sz w:val="22"/>
          <w:szCs w:val="22"/>
        </w:rPr>
        <w:t>Eastern</w:t>
      </w:r>
      <w:r w:rsidRPr="00B309D7">
        <w:rPr>
          <w:sz w:val="22"/>
          <w:szCs w:val="22"/>
        </w:rPr>
        <w:t xml:space="preserve"> C</w:t>
      </w:r>
      <w:r>
        <w:rPr>
          <w:sz w:val="22"/>
          <w:szCs w:val="22"/>
        </w:rPr>
        <w:t>ity</w:t>
      </w:r>
      <w:r w:rsidRPr="00B309D7">
        <w:rPr>
          <w:sz w:val="22"/>
          <w:szCs w:val="22"/>
        </w:rPr>
        <w:t xml:space="preserve"> </w:t>
      </w:r>
      <w:r w:rsidR="0089237A">
        <w:rPr>
          <w:sz w:val="22"/>
          <w:szCs w:val="22"/>
        </w:rPr>
        <w:t xml:space="preserve">at the 2021 Census </w:t>
      </w:r>
      <w:r w:rsidRPr="00B309D7">
        <w:rPr>
          <w:sz w:val="22"/>
          <w:szCs w:val="22"/>
        </w:rPr>
        <w:t xml:space="preserve">and are amongst the lowest paid workers.  Similarly retail trade employs </w:t>
      </w:r>
      <w:r w:rsidR="00687056">
        <w:rPr>
          <w:sz w:val="22"/>
          <w:szCs w:val="22"/>
        </w:rPr>
        <w:t>7.5</w:t>
      </w:r>
      <w:r>
        <w:rPr>
          <w:sz w:val="22"/>
          <w:szCs w:val="22"/>
        </w:rPr>
        <w:t>%</w:t>
      </w:r>
      <w:r w:rsidRPr="00B309D7">
        <w:rPr>
          <w:sz w:val="22"/>
          <w:szCs w:val="22"/>
        </w:rPr>
        <w:t xml:space="preserve"> of workers </w:t>
      </w:r>
      <w:r>
        <w:rPr>
          <w:sz w:val="22"/>
          <w:szCs w:val="22"/>
        </w:rPr>
        <w:t xml:space="preserve">living </w:t>
      </w:r>
      <w:r w:rsidRPr="00B309D7">
        <w:rPr>
          <w:sz w:val="22"/>
          <w:szCs w:val="22"/>
        </w:rPr>
        <w:t xml:space="preserve">in </w:t>
      </w:r>
      <w:r w:rsidR="00687056">
        <w:rPr>
          <w:sz w:val="22"/>
          <w:szCs w:val="22"/>
        </w:rPr>
        <w:t>Eastern</w:t>
      </w:r>
      <w:r w:rsidRPr="00B309D7">
        <w:rPr>
          <w:sz w:val="22"/>
          <w:szCs w:val="22"/>
        </w:rPr>
        <w:t xml:space="preserve"> C</w:t>
      </w:r>
      <w:r>
        <w:rPr>
          <w:sz w:val="22"/>
          <w:szCs w:val="22"/>
        </w:rPr>
        <w:t>ity</w:t>
      </w:r>
      <w:r w:rsidRPr="00B309D7">
        <w:rPr>
          <w:sz w:val="22"/>
          <w:szCs w:val="22"/>
        </w:rPr>
        <w:t xml:space="preserve">. </w:t>
      </w:r>
    </w:p>
    <w:p w14:paraId="556FD156" w14:textId="77777777" w:rsidR="00DA7718" w:rsidRDefault="00DA7718" w:rsidP="00DA7718">
      <w:pPr>
        <w:pStyle w:val="ListParagraph"/>
        <w:numPr>
          <w:ilvl w:val="0"/>
          <w:numId w:val="2"/>
        </w:numPr>
        <w:rPr>
          <w:sz w:val="22"/>
          <w:szCs w:val="22"/>
        </w:rPr>
      </w:pPr>
      <w:r w:rsidRPr="00B309D7">
        <w:rPr>
          <w:sz w:val="22"/>
          <w:szCs w:val="22"/>
        </w:rPr>
        <w:t xml:space="preserve">Health care and social assistance is </w:t>
      </w:r>
      <w:r>
        <w:rPr>
          <w:sz w:val="22"/>
          <w:szCs w:val="22"/>
        </w:rPr>
        <w:t>the largest</w:t>
      </w:r>
      <w:r w:rsidRPr="00B309D7">
        <w:rPr>
          <w:sz w:val="22"/>
          <w:szCs w:val="22"/>
        </w:rPr>
        <w:t xml:space="preserve"> employment sector in </w:t>
      </w:r>
      <w:r w:rsidR="0089237A">
        <w:rPr>
          <w:sz w:val="22"/>
          <w:szCs w:val="22"/>
        </w:rPr>
        <w:t>Eastern</w:t>
      </w:r>
      <w:r w:rsidRPr="00B309D7">
        <w:rPr>
          <w:sz w:val="22"/>
          <w:szCs w:val="22"/>
        </w:rPr>
        <w:t xml:space="preserve"> C</w:t>
      </w:r>
      <w:r>
        <w:rPr>
          <w:sz w:val="22"/>
          <w:szCs w:val="22"/>
        </w:rPr>
        <w:t>ity</w:t>
      </w:r>
      <w:r w:rsidRPr="00B309D7">
        <w:rPr>
          <w:sz w:val="22"/>
          <w:szCs w:val="22"/>
        </w:rPr>
        <w:t xml:space="preserve"> (employing 1</w:t>
      </w:r>
      <w:r w:rsidR="00687056">
        <w:rPr>
          <w:sz w:val="22"/>
          <w:szCs w:val="22"/>
        </w:rPr>
        <w:t>1.9</w:t>
      </w:r>
      <w:r w:rsidRPr="00B309D7">
        <w:rPr>
          <w:sz w:val="22"/>
          <w:szCs w:val="22"/>
        </w:rPr>
        <w:t>%).  A 2017 survey of NSW Nurses and Midwives Association (NSWMA) members showed that thirty six per cent of respondents moved home or changed jobs in the previous 12 months because of housing affordability issues</w:t>
      </w:r>
      <w:r>
        <w:rPr>
          <w:sz w:val="22"/>
          <w:szCs w:val="22"/>
        </w:rPr>
        <w:t>.</w:t>
      </w:r>
    </w:p>
    <w:p w14:paraId="3DBEB339" w14:textId="77777777" w:rsidR="00DA7718" w:rsidRPr="00D64C71" w:rsidRDefault="00DA7718" w:rsidP="00DA7718">
      <w:pPr>
        <w:pStyle w:val="ListParagraph"/>
        <w:numPr>
          <w:ilvl w:val="0"/>
          <w:numId w:val="2"/>
        </w:numPr>
        <w:rPr>
          <w:sz w:val="22"/>
        </w:rPr>
      </w:pPr>
      <w:r>
        <w:rPr>
          <w:sz w:val="22"/>
          <w:szCs w:val="22"/>
        </w:rPr>
        <w:t>For example, 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57EE6986" w14:textId="77777777" w:rsidR="00DA7718" w:rsidRPr="005446CE" w:rsidRDefault="00DA7718" w:rsidP="00DA7718">
      <w:pPr>
        <w:pStyle w:val="ListParagraph"/>
        <w:numPr>
          <w:ilvl w:val="0"/>
          <w:numId w:val="2"/>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70530F05" w14:textId="0E0FA0B7" w:rsidR="00DA7718" w:rsidRPr="00431A5F" w:rsidRDefault="00DA7718" w:rsidP="00DA7718">
      <w:pPr>
        <w:pStyle w:val="ListParagraph"/>
        <w:numPr>
          <w:ilvl w:val="0"/>
          <w:numId w:val="2"/>
        </w:numPr>
        <w:rPr>
          <w:sz w:val="22"/>
          <w:szCs w:val="22"/>
        </w:rPr>
      </w:pPr>
      <w:r w:rsidRPr="00431A5F">
        <w:rPr>
          <w:sz w:val="22"/>
        </w:rPr>
        <w:t xml:space="preserve">At December 2022, the median rent for a </w:t>
      </w:r>
      <w:r w:rsidR="00431A5F" w:rsidRPr="00431A5F">
        <w:rPr>
          <w:sz w:val="22"/>
        </w:rPr>
        <w:t xml:space="preserve">studio dwelling in Eastern City ranged between $310 per week in Burwood and $480 per week in City of Sydney; </w:t>
      </w:r>
      <w:r w:rsidR="0039571E">
        <w:rPr>
          <w:sz w:val="22"/>
        </w:rPr>
        <w:t xml:space="preserve">the median rent for </w:t>
      </w:r>
      <w:r w:rsidR="00431A5F" w:rsidRPr="00431A5F">
        <w:rPr>
          <w:sz w:val="22"/>
        </w:rPr>
        <w:t xml:space="preserve">a </w:t>
      </w:r>
      <w:r w:rsidRPr="00431A5F">
        <w:rPr>
          <w:sz w:val="22"/>
        </w:rPr>
        <w:t xml:space="preserve">one bedroom home in </w:t>
      </w:r>
      <w:r w:rsidR="00687056" w:rsidRPr="00431A5F">
        <w:rPr>
          <w:sz w:val="22"/>
        </w:rPr>
        <w:t>Eastern</w:t>
      </w:r>
      <w:r w:rsidRPr="00431A5F">
        <w:rPr>
          <w:sz w:val="22"/>
        </w:rPr>
        <w:t xml:space="preserve"> City ranged between </w:t>
      </w:r>
      <w:r w:rsidR="00431A5F" w:rsidRPr="00431A5F">
        <w:rPr>
          <w:sz w:val="22"/>
        </w:rPr>
        <w:t>$438</w:t>
      </w:r>
      <w:r w:rsidRPr="00431A5F">
        <w:rPr>
          <w:sz w:val="22"/>
        </w:rPr>
        <w:t xml:space="preserve"> per week in </w:t>
      </w:r>
      <w:r w:rsidR="00431A5F" w:rsidRPr="00431A5F">
        <w:rPr>
          <w:sz w:val="22"/>
        </w:rPr>
        <w:t>Inner West and $650</w:t>
      </w:r>
      <w:r w:rsidRPr="00431A5F">
        <w:rPr>
          <w:sz w:val="22"/>
        </w:rPr>
        <w:t xml:space="preserve"> per week in </w:t>
      </w:r>
      <w:r w:rsidR="00431A5F" w:rsidRPr="00431A5F">
        <w:rPr>
          <w:sz w:val="22"/>
        </w:rPr>
        <w:t>Waverley</w:t>
      </w:r>
      <w:r w:rsidRPr="00431A5F">
        <w:rPr>
          <w:sz w:val="22"/>
        </w:rPr>
        <w:t>; for a two bedroom home ranged between $</w:t>
      </w:r>
      <w:r w:rsidR="00431A5F" w:rsidRPr="00431A5F">
        <w:rPr>
          <w:sz w:val="22"/>
        </w:rPr>
        <w:t>56</w:t>
      </w:r>
      <w:r w:rsidRPr="00431A5F">
        <w:rPr>
          <w:sz w:val="22"/>
        </w:rPr>
        <w:t xml:space="preserve">0 per week in </w:t>
      </w:r>
      <w:r w:rsidR="00431A5F" w:rsidRPr="00431A5F">
        <w:rPr>
          <w:sz w:val="22"/>
        </w:rPr>
        <w:t>Strathfield</w:t>
      </w:r>
      <w:r w:rsidRPr="00431A5F">
        <w:rPr>
          <w:sz w:val="22"/>
        </w:rPr>
        <w:t xml:space="preserve"> and $</w:t>
      </w:r>
      <w:r w:rsidR="00431A5F" w:rsidRPr="00431A5F">
        <w:rPr>
          <w:sz w:val="22"/>
        </w:rPr>
        <w:t>875</w:t>
      </w:r>
      <w:r w:rsidRPr="00431A5F">
        <w:rPr>
          <w:sz w:val="22"/>
        </w:rPr>
        <w:t xml:space="preserve"> per week in </w:t>
      </w:r>
      <w:r w:rsidR="00431A5F" w:rsidRPr="00431A5F">
        <w:rPr>
          <w:sz w:val="22"/>
        </w:rPr>
        <w:t>Waverley</w:t>
      </w:r>
      <w:r w:rsidRPr="00431A5F">
        <w:rPr>
          <w:sz w:val="22"/>
        </w:rPr>
        <w:t>; for a three bedroom home ranged between $</w:t>
      </w:r>
      <w:r w:rsidR="00431A5F" w:rsidRPr="00431A5F">
        <w:rPr>
          <w:sz w:val="22"/>
        </w:rPr>
        <w:t>670</w:t>
      </w:r>
      <w:r w:rsidRPr="00431A5F">
        <w:rPr>
          <w:sz w:val="22"/>
        </w:rPr>
        <w:t xml:space="preserve"> per week in </w:t>
      </w:r>
      <w:r w:rsidR="00431A5F" w:rsidRPr="00431A5F">
        <w:rPr>
          <w:sz w:val="22"/>
        </w:rPr>
        <w:t>Strathfield</w:t>
      </w:r>
      <w:r w:rsidRPr="00431A5F">
        <w:rPr>
          <w:sz w:val="22"/>
        </w:rPr>
        <w:t xml:space="preserve"> and $</w:t>
      </w:r>
      <w:r w:rsidR="00431A5F" w:rsidRPr="00431A5F">
        <w:rPr>
          <w:sz w:val="22"/>
        </w:rPr>
        <w:t>1373</w:t>
      </w:r>
      <w:r w:rsidRPr="00431A5F">
        <w:rPr>
          <w:sz w:val="22"/>
        </w:rPr>
        <w:t xml:space="preserve"> in </w:t>
      </w:r>
      <w:r w:rsidR="00431A5F" w:rsidRPr="00431A5F">
        <w:rPr>
          <w:sz w:val="22"/>
        </w:rPr>
        <w:t>Woollahra</w:t>
      </w:r>
      <w:r w:rsidRPr="00431A5F">
        <w:rPr>
          <w:sz w:val="22"/>
        </w:rPr>
        <w:t>; and for a four or mor</w:t>
      </w:r>
      <w:r w:rsidR="00431A5F" w:rsidRPr="00431A5F">
        <w:rPr>
          <w:sz w:val="22"/>
        </w:rPr>
        <w:t>e bedroom home ranged between $890</w:t>
      </w:r>
      <w:r w:rsidRPr="00431A5F">
        <w:rPr>
          <w:sz w:val="22"/>
        </w:rPr>
        <w:t xml:space="preserve"> per week in </w:t>
      </w:r>
      <w:r w:rsidR="00431A5F" w:rsidRPr="00431A5F">
        <w:rPr>
          <w:sz w:val="22"/>
        </w:rPr>
        <w:t>Strathfield and $3000</w:t>
      </w:r>
      <w:r w:rsidRPr="00431A5F">
        <w:rPr>
          <w:sz w:val="22"/>
        </w:rPr>
        <w:t xml:space="preserve"> per week in </w:t>
      </w:r>
      <w:r w:rsidR="00431A5F" w:rsidRPr="00431A5F">
        <w:rPr>
          <w:sz w:val="22"/>
        </w:rPr>
        <w:t>Woollahra</w:t>
      </w:r>
      <w:r w:rsidRPr="00431A5F">
        <w:rPr>
          <w:sz w:val="22"/>
        </w:rPr>
        <w:t>.</w:t>
      </w:r>
      <w:r w:rsidR="0039571E">
        <w:rPr>
          <w:sz w:val="22"/>
        </w:rPr>
        <w:t xml:space="preserve">  Clearly it is extremely difficult for single income lower paid households to afford to rent</w:t>
      </w:r>
      <w:r w:rsidR="000D278C">
        <w:rPr>
          <w:sz w:val="22"/>
        </w:rPr>
        <w:t xml:space="preserve"> anywhere</w:t>
      </w:r>
      <w:r w:rsidR="0039571E">
        <w:rPr>
          <w:sz w:val="22"/>
        </w:rPr>
        <w:t xml:space="preserve"> in Eastern City.</w:t>
      </w:r>
    </w:p>
    <w:p w14:paraId="3D742EC0" w14:textId="77777777" w:rsidR="00DA7718" w:rsidRPr="00B309D7" w:rsidRDefault="00DA7718" w:rsidP="00DA7718">
      <w:pPr>
        <w:pStyle w:val="ListParagraph"/>
        <w:numPr>
          <w:ilvl w:val="0"/>
          <w:numId w:val="2"/>
        </w:numPr>
        <w:rPr>
          <w:sz w:val="22"/>
          <w:szCs w:val="22"/>
        </w:rPr>
      </w:pPr>
      <w:r w:rsidRPr="00B309D7">
        <w:rPr>
          <w:sz w:val="22"/>
          <w:szCs w:val="22"/>
        </w:rPr>
        <w:lastRenderedPageBreak/>
        <w:t>Single income households in particular are less able to compete in the housing market.</w:t>
      </w:r>
    </w:p>
    <w:p w14:paraId="2D324003" w14:textId="77777777" w:rsidR="00DA7718" w:rsidRPr="001C5E30" w:rsidRDefault="00DA7718" w:rsidP="00DA7718">
      <w:pPr>
        <w:pStyle w:val="ListParagraph"/>
        <w:numPr>
          <w:ilvl w:val="0"/>
          <w:numId w:val="2"/>
        </w:numPr>
        <w:rPr>
          <w:sz w:val="22"/>
          <w:szCs w:val="22"/>
        </w:rPr>
      </w:pPr>
      <w:r w:rsidRPr="001C5E30">
        <w:rPr>
          <w:sz w:val="22"/>
          <w:szCs w:val="22"/>
        </w:rPr>
        <w:t>Increasing numbers of older single women are homeless or at risk of homelessness due to the lack of available affordable rental housing.  In fact they are the fastest growing cohort of the homeless population.</w:t>
      </w:r>
    </w:p>
    <w:p w14:paraId="7BCE78C5" w14:textId="77777777" w:rsidR="00DA7718" w:rsidRPr="00714E45" w:rsidRDefault="00DA7718" w:rsidP="00DA7718">
      <w:pPr>
        <w:pStyle w:val="ListParagraph"/>
        <w:numPr>
          <w:ilvl w:val="0"/>
          <w:numId w:val="2"/>
        </w:numPr>
        <w:rPr>
          <w:sz w:val="22"/>
        </w:rPr>
      </w:pPr>
      <w:r w:rsidRPr="00714E45">
        <w:rPr>
          <w:sz w:val="22"/>
        </w:rPr>
        <w:t xml:space="preserve">Partnering or collaborating with community housing providers is one effective way to meet some of the local need for appropriate affordable housing.  </w:t>
      </w:r>
      <w:r w:rsidR="007267FF">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3AFC1AEC" w14:textId="77777777" w:rsidR="00582879" w:rsidRDefault="00582879" w:rsidP="00F7269A">
      <w:pPr>
        <w:rPr>
          <w:sz w:val="22"/>
        </w:rPr>
      </w:pPr>
    </w:p>
    <w:p w14:paraId="784C8592" w14:textId="77777777" w:rsidR="00431A5F" w:rsidRDefault="00431A5F" w:rsidP="00F7269A">
      <w:pPr>
        <w:rPr>
          <w:sz w:val="22"/>
        </w:rPr>
      </w:pPr>
    </w:p>
    <w:p w14:paraId="2AAD3AA3" w14:textId="1C102F49" w:rsidR="00C6414D" w:rsidRDefault="00C6414D" w:rsidP="00C6414D">
      <w:pPr>
        <w:rPr>
          <w:b/>
          <w:color w:val="008000"/>
          <w:sz w:val="32"/>
        </w:rPr>
      </w:pPr>
      <w:r w:rsidRPr="00654A33">
        <w:rPr>
          <w:b/>
          <w:color w:val="008000"/>
          <w:sz w:val="32"/>
        </w:rPr>
        <w:t>Additional Data</w:t>
      </w:r>
    </w:p>
    <w:p w14:paraId="26D0219A" w14:textId="77777777" w:rsidR="006B7AE8" w:rsidRPr="009F0937" w:rsidRDefault="006B7AE8" w:rsidP="006B7AE8">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19A5E94A" w14:textId="77777777" w:rsidR="006B7AE8" w:rsidRDefault="00A37B5D" w:rsidP="006B7AE8">
      <w:pPr>
        <w:rPr>
          <w:sz w:val="22"/>
          <w:szCs w:val="22"/>
        </w:rPr>
      </w:pPr>
      <w:hyperlink r:id="rId27" w:history="1">
        <w:r w:rsidR="006B7AE8" w:rsidRPr="00E8412F">
          <w:rPr>
            <w:rStyle w:val="Hyperlink"/>
            <w:sz w:val="22"/>
            <w:szCs w:val="22"/>
          </w:rPr>
          <w:t>https://www.facs.nsw.gov.au/resources/nsw-local-government-housing-kit/chapters/local-government-housing-kit-database</w:t>
        </w:r>
      </w:hyperlink>
    </w:p>
    <w:p w14:paraId="0CF37548" w14:textId="77777777" w:rsidR="006B7AE8" w:rsidRDefault="006B7AE8" w:rsidP="006B7AE8">
      <w:pPr>
        <w:rPr>
          <w:sz w:val="22"/>
          <w:szCs w:val="22"/>
        </w:rPr>
      </w:pPr>
    </w:p>
    <w:p w14:paraId="72E703E0" w14:textId="77777777" w:rsidR="006B7AE8" w:rsidRPr="009F0937" w:rsidRDefault="006B7AE8" w:rsidP="006B7AE8">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238C9579" w14:textId="77777777" w:rsidR="006B7AE8" w:rsidRDefault="00A37B5D" w:rsidP="006B7AE8">
      <w:pPr>
        <w:rPr>
          <w:sz w:val="22"/>
          <w:szCs w:val="22"/>
        </w:rPr>
      </w:pPr>
      <w:hyperlink r:id="rId28" w:history="1">
        <w:r w:rsidR="006B7AE8" w:rsidRPr="00E8412F">
          <w:rPr>
            <w:rStyle w:val="Hyperlink"/>
            <w:sz w:val="22"/>
            <w:szCs w:val="22"/>
          </w:rPr>
          <w:t>https://www.facs.nsw.gov.au/housing/help/applying-assistance/expected-waiting-times</w:t>
        </w:r>
      </w:hyperlink>
    </w:p>
    <w:p w14:paraId="634F086A" w14:textId="77777777" w:rsidR="006B7AE8" w:rsidRDefault="006B7AE8" w:rsidP="006B7AE8">
      <w:pPr>
        <w:rPr>
          <w:sz w:val="22"/>
          <w:szCs w:val="22"/>
        </w:rPr>
      </w:pPr>
    </w:p>
    <w:p w14:paraId="6A02B2F5" w14:textId="77777777" w:rsidR="006B7AE8" w:rsidRPr="009C452F" w:rsidRDefault="006B7AE8" w:rsidP="006B7AE8">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049842CA" w14:textId="77777777" w:rsidR="006B7AE8" w:rsidRDefault="00A37B5D" w:rsidP="006B7AE8">
      <w:pPr>
        <w:rPr>
          <w:sz w:val="22"/>
          <w:szCs w:val="22"/>
        </w:rPr>
      </w:pPr>
      <w:hyperlink r:id="rId29" w:history="1">
        <w:r w:rsidR="006B7AE8" w:rsidRPr="00E8412F">
          <w:rPr>
            <w:rStyle w:val="Hyperlink"/>
            <w:sz w:val="22"/>
            <w:szCs w:val="22"/>
          </w:rPr>
          <w:t>https://www.facs.nsw.gov.au/resources/statistics/social-housing-residential-dwellings/facs-quarterly-statistics-social-housing-dwellings</w:t>
        </w:r>
      </w:hyperlink>
    </w:p>
    <w:p w14:paraId="6046F46E" w14:textId="77777777" w:rsidR="006B7AE8" w:rsidRDefault="006B7AE8" w:rsidP="006B7AE8">
      <w:pPr>
        <w:rPr>
          <w:sz w:val="22"/>
          <w:szCs w:val="22"/>
        </w:rPr>
      </w:pPr>
      <w:r>
        <w:rPr>
          <w:sz w:val="22"/>
          <w:szCs w:val="22"/>
        </w:rPr>
        <w:t>or go straight to the dashboard:</w:t>
      </w:r>
    </w:p>
    <w:p w14:paraId="1D1C10E1" w14:textId="77777777" w:rsidR="006B7AE8" w:rsidRDefault="00A37B5D" w:rsidP="006B7AE8">
      <w:pPr>
        <w:rPr>
          <w:sz w:val="22"/>
          <w:szCs w:val="22"/>
        </w:rPr>
      </w:pPr>
      <w:hyperlink r:id="rId30" w:history="1">
        <w:r w:rsidR="006B7AE8" w:rsidRPr="00E8412F">
          <w:rPr>
            <w:rStyle w:val="Hyperlink"/>
            <w:sz w:val="22"/>
            <w:szCs w:val="22"/>
          </w:rPr>
          <w:t>https://public.tableau.com/app/profile/facs.statistics/viz/Social_Housing_Residential_Dwellings/Dashboard</w:t>
        </w:r>
      </w:hyperlink>
    </w:p>
    <w:p w14:paraId="58C05750" w14:textId="77777777" w:rsidR="006B7AE8" w:rsidRDefault="006B7AE8" w:rsidP="006B7AE8">
      <w:pPr>
        <w:rPr>
          <w:sz w:val="22"/>
          <w:szCs w:val="22"/>
        </w:rPr>
      </w:pPr>
      <w:r>
        <w:rPr>
          <w:sz w:val="22"/>
          <w:szCs w:val="22"/>
        </w:rPr>
        <w:t>and</w:t>
      </w:r>
    </w:p>
    <w:p w14:paraId="65E26E27" w14:textId="77777777" w:rsidR="006B7AE8" w:rsidRDefault="00A37B5D" w:rsidP="006B7AE8">
      <w:pPr>
        <w:rPr>
          <w:sz w:val="22"/>
          <w:szCs w:val="22"/>
        </w:rPr>
      </w:pPr>
      <w:hyperlink r:id="rId31" w:history="1">
        <w:r w:rsidR="006B7AE8" w:rsidRPr="00E8412F">
          <w:rPr>
            <w:rStyle w:val="Hyperlink"/>
            <w:sz w:val="22"/>
            <w:szCs w:val="22"/>
          </w:rPr>
          <w:t>https://www.facs.nsw.gov.au/resources/statistics/social-housing-delivery2/interactive-dashboard</w:t>
        </w:r>
      </w:hyperlink>
    </w:p>
    <w:p w14:paraId="3AA8C30F" w14:textId="77777777" w:rsidR="006B7AE8" w:rsidRDefault="006B7AE8" w:rsidP="006B7AE8">
      <w:pPr>
        <w:rPr>
          <w:sz w:val="22"/>
          <w:szCs w:val="22"/>
        </w:rPr>
      </w:pPr>
    </w:p>
    <w:p w14:paraId="774FD7B5" w14:textId="77777777" w:rsidR="006B7AE8" w:rsidRPr="0016082E" w:rsidRDefault="006B7AE8" w:rsidP="006B7AE8">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4D1342F9" w14:textId="77777777" w:rsidR="006B7AE8" w:rsidRDefault="006B7AE8" w:rsidP="006B7AE8">
      <w:pPr>
        <w:rPr>
          <w:sz w:val="22"/>
          <w:szCs w:val="22"/>
        </w:rPr>
      </w:pPr>
      <w:r>
        <w:rPr>
          <w:sz w:val="22"/>
          <w:szCs w:val="22"/>
        </w:rPr>
        <w:t>NSW CHIA Snapshot of the Community Housing Sector in NSW:</w:t>
      </w:r>
    </w:p>
    <w:p w14:paraId="76FD2CFC" w14:textId="77777777" w:rsidR="006B7AE8" w:rsidRDefault="00A37B5D" w:rsidP="006B7AE8">
      <w:pPr>
        <w:rPr>
          <w:sz w:val="22"/>
          <w:szCs w:val="22"/>
        </w:rPr>
      </w:pPr>
      <w:hyperlink r:id="rId32" w:history="1">
        <w:r w:rsidR="006B7AE8" w:rsidRPr="00E8412F">
          <w:rPr>
            <w:rStyle w:val="Hyperlink"/>
            <w:sz w:val="22"/>
            <w:szCs w:val="22"/>
          </w:rPr>
          <w:t>https://communityhousing.org.au/wp-content/uploads/2022/08/Community-Housing-Snapshot-2022.pdf</w:t>
        </w:r>
      </w:hyperlink>
    </w:p>
    <w:p w14:paraId="69B3BA47" w14:textId="77777777" w:rsidR="006B7AE8" w:rsidRDefault="006B7AE8" w:rsidP="006B7AE8">
      <w:pPr>
        <w:rPr>
          <w:sz w:val="22"/>
          <w:szCs w:val="22"/>
        </w:rPr>
      </w:pPr>
      <w:r>
        <w:rPr>
          <w:sz w:val="22"/>
          <w:szCs w:val="22"/>
        </w:rPr>
        <w:lastRenderedPageBreak/>
        <w:t>Data on community housing properties is available from the NSW CHIA Dashboard at:</w:t>
      </w:r>
    </w:p>
    <w:p w14:paraId="2EFE2404" w14:textId="77777777" w:rsidR="006B7AE8" w:rsidRDefault="00A37B5D" w:rsidP="006B7AE8">
      <w:pPr>
        <w:rPr>
          <w:sz w:val="22"/>
          <w:szCs w:val="22"/>
        </w:rPr>
      </w:pPr>
      <w:hyperlink r:id="rId33" w:history="1">
        <w:r w:rsidR="006B7AE8" w:rsidRPr="00D1697C">
          <w:rPr>
            <w:rStyle w:val="Hyperlink"/>
            <w:sz w:val="22"/>
            <w:szCs w:val="22"/>
          </w:rPr>
          <w:t>https://communityhousing.org.au/our-impact/data-dashboard/</w:t>
        </w:r>
      </w:hyperlink>
    </w:p>
    <w:p w14:paraId="66B86858" w14:textId="77777777" w:rsidR="006B7AE8" w:rsidRPr="0045718D" w:rsidRDefault="006B7AE8" w:rsidP="006B7AE8">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4B87EF54" w14:textId="77777777" w:rsidR="006B7AE8" w:rsidRPr="0016082E" w:rsidRDefault="006B7AE8" w:rsidP="006B7AE8">
      <w:pPr>
        <w:rPr>
          <w:rStyle w:val="Hyperlink"/>
          <w:sz w:val="22"/>
          <w:szCs w:val="22"/>
          <w:highlight w:val="yellow"/>
        </w:rPr>
      </w:pPr>
      <w:r w:rsidRPr="0045718D">
        <w:rPr>
          <w:rStyle w:val="Hyperlink"/>
          <w:sz w:val="22"/>
          <w:szCs w:val="22"/>
        </w:rPr>
        <w:t>https://nswfha-my.sharepoint.com/personal/josha_communityhousing_org_au/_layouts/15/onedrive.aspx?ga=1&amp;id=%2Fpersonal%2Fjosha%5Fcommunityhousing%5Forg%5Fau%2FDocuments%2FAffordable%20Housing%20Toolkit%2FFiles</w:t>
      </w:r>
    </w:p>
    <w:p w14:paraId="33F2B7D2" w14:textId="77777777" w:rsidR="006B7AE8" w:rsidRPr="006B7AE8" w:rsidRDefault="006B7AE8" w:rsidP="00C6414D">
      <w:pPr>
        <w:rPr>
          <w:bCs/>
          <w:sz w:val="22"/>
          <w:szCs w:val="22"/>
        </w:rPr>
      </w:pPr>
    </w:p>
    <w:sectPr w:rsidR="006B7AE8" w:rsidRPr="006B7AE8" w:rsidSect="00E81EA2">
      <w:headerReference w:type="default" r:id="rId34"/>
      <w:footerReference w:type="default" r:id="rId3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C714" w14:textId="77777777" w:rsidR="00D027AD" w:rsidRDefault="00D027AD">
      <w:r>
        <w:separator/>
      </w:r>
    </w:p>
  </w:endnote>
  <w:endnote w:type="continuationSeparator" w:id="0">
    <w:p w14:paraId="09A41A06" w14:textId="77777777" w:rsidR="00D027AD" w:rsidRDefault="00D0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6BAF" w14:textId="77777777" w:rsidR="00D027AD" w:rsidRPr="00EC070F" w:rsidRDefault="00D027AD">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1A9C" w14:textId="77777777" w:rsidR="00D027AD" w:rsidRDefault="00D027AD">
      <w:r>
        <w:separator/>
      </w:r>
    </w:p>
  </w:footnote>
  <w:footnote w:type="continuationSeparator" w:id="0">
    <w:p w14:paraId="483A1DC3" w14:textId="77777777" w:rsidR="00D027AD" w:rsidRDefault="00D027AD">
      <w:r>
        <w:continuationSeparator/>
      </w:r>
    </w:p>
  </w:footnote>
  <w:footnote w:id="1">
    <w:p w14:paraId="61EE178D" w14:textId="77777777" w:rsidR="002D1F31" w:rsidRPr="004C13BB" w:rsidRDefault="002D1F31" w:rsidP="002D1F31">
      <w:pPr>
        <w:pStyle w:val="FootnoteText"/>
        <w:rPr>
          <w:lang w:val="en-US"/>
        </w:rPr>
      </w:pPr>
      <w:r>
        <w:rPr>
          <w:rStyle w:val="FootnoteReference"/>
        </w:rPr>
        <w:footnoteRef/>
      </w:r>
      <w:r>
        <w:t xml:space="preserve"> </w:t>
      </w:r>
      <w:r>
        <w:rPr>
          <w:lang w:val="en-US"/>
        </w:rPr>
        <w:t xml:space="preserve">“Technological disruption in private housing markets: the case of AirBnB” </w:t>
      </w:r>
      <w:r>
        <w:rPr>
          <w:i/>
          <w:lang w:val="en-US"/>
        </w:rPr>
        <w:t xml:space="preserve">AHURI </w:t>
      </w:r>
      <w:r>
        <w:rPr>
          <w:lang w:val="en-US"/>
        </w:rPr>
        <w:t>October 2018 (Crommelin et al)</w:t>
      </w:r>
    </w:p>
    <w:p w14:paraId="060A5B16" w14:textId="77777777" w:rsidR="002D1F31" w:rsidRPr="00934A40" w:rsidRDefault="002D1F31" w:rsidP="002D1F3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56CC" w14:textId="77777777" w:rsidR="00D027AD" w:rsidRDefault="00D027AD" w:rsidP="00E76895">
    <w:pPr>
      <w:pStyle w:val="Factsheet"/>
      <w:ind w:left="7200"/>
      <w:jc w:val="left"/>
    </w:pPr>
    <w:r>
      <w:rPr>
        <w:noProof/>
      </w:rPr>
      <w:drawing>
        <wp:anchor distT="0" distB="0" distL="114300" distR="114300" simplePos="0" relativeHeight="251657728" behindDoc="1" locked="0" layoutInCell="1" allowOverlap="1" wp14:anchorId="7AD0B44C" wp14:editId="33A1D17A">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4B737CFE" w14:textId="77777777" w:rsidR="00D027AD" w:rsidRPr="001F5B89" w:rsidRDefault="00D027AD" w:rsidP="001909CA">
    <w:pPr>
      <w:pStyle w:val="Issuedate"/>
    </w:pPr>
    <w:r>
      <w:br/>
    </w:r>
  </w:p>
  <w:p w14:paraId="288EEE8C" w14:textId="77777777" w:rsidR="00D027AD" w:rsidRPr="001909CA" w:rsidRDefault="00D027AD"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68"/>
    <w:multiLevelType w:val="hybridMultilevel"/>
    <w:tmpl w:val="63202B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A809D8"/>
    <w:multiLevelType w:val="hybridMultilevel"/>
    <w:tmpl w:val="BA74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30644C"/>
    <w:multiLevelType w:val="hybridMultilevel"/>
    <w:tmpl w:val="153048F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9A389D"/>
    <w:multiLevelType w:val="hybridMultilevel"/>
    <w:tmpl w:val="4B8247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807D48"/>
    <w:multiLevelType w:val="hybridMultilevel"/>
    <w:tmpl w:val="3B882A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70522A"/>
    <w:multiLevelType w:val="hybridMultilevel"/>
    <w:tmpl w:val="B4B661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7C2704"/>
    <w:multiLevelType w:val="hybridMultilevel"/>
    <w:tmpl w:val="633EE0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4C4A12"/>
    <w:multiLevelType w:val="hybridMultilevel"/>
    <w:tmpl w:val="A28C3D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DF7A2A"/>
    <w:multiLevelType w:val="hybridMultilevel"/>
    <w:tmpl w:val="9514AA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70FE0"/>
    <w:multiLevelType w:val="hybridMultilevel"/>
    <w:tmpl w:val="7E447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C72334"/>
    <w:multiLevelType w:val="hybridMultilevel"/>
    <w:tmpl w:val="440009C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CC259A7"/>
    <w:multiLevelType w:val="hybridMultilevel"/>
    <w:tmpl w:val="9B4E686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592B3A"/>
    <w:multiLevelType w:val="hybridMultilevel"/>
    <w:tmpl w:val="B8AE8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0C20BF"/>
    <w:multiLevelType w:val="hybridMultilevel"/>
    <w:tmpl w:val="B9D238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1148D2"/>
    <w:multiLevelType w:val="hybridMultilevel"/>
    <w:tmpl w:val="7E063D4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968683C"/>
    <w:multiLevelType w:val="hybridMultilevel"/>
    <w:tmpl w:val="C9708C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491022017">
    <w:abstractNumId w:val="19"/>
  </w:num>
  <w:num w:numId="2" w16cid:durableId="1012292848">
    <w:abstractNumId w:val="16"/>
  </w:num>
  <w:num w:numId="3" w16cid:durableId="1338460560">
    <w:abstractNumId w:val="7"/>
  </w:num>
  <w:num w:numId="4" w16cid:durableId="1239711373">
    <w:abstractNumId w:val="18"/>
  </w:num>
  <w:num w:numId="5" w16cid:durableId="222369241">
    <w:abstractNumId w:val="0"/>
  </w:num>
  <w:num w:numId="6" w16cid:durableId="1450783169">
    <w:abstractNumId w:val="17"/>
  </w:num>
  <w:num w:numId="7" w16cid:durableId="108011723">
    <w:abstractNumId w:val="10"/>
  </w:num>
  <w:num w:numId="8" w16cid:durableId="1425230035">
    <w:abstractNumId w:val="13"/>
  </w:num>
  <w:num w:numId="9" w16cid:durableId="1212578122">
    <w:abstractNumId w:val="15"/>
  </w:num>
  <w:num w:numId="10" w16cid:durableId="590159167">
    <w:abstractNumId w:val="11"/>
  </w:num>
  <w:num w:numId="11" w16cid:durableId="1492402252">
    <w:abstractNumId w:val="21"/>
  </w:num>
  <w:num w:numId="12" w16cid:durableId="1467970775">
    <w:abstractNumId w:val="5"/>
  </w:num>
  <w:num w:numId="13" w16cid:durableId="1235705117">
    <w:abstractNumId w:val="23"/>
  </w:num>
  <w:num w:numId="14" w16cid:durableId="1113015452">
    <w:abstractNumId w:val="12"/>
  </w:num>
  <w:num w:numId="15" w16cid:durableId="1492795748">
    <w:abstractNumId w:val="1"/>
  </w:num>
  <w:num w:numId="16" w16cid:durableId="1624001052">
    <w:abstractNumId w:val="6"/>
  </w:num>
  <w:num w:numId="17" w16cid:durableId="808017996">
    <w:abstractNumId w:val="3"/>
  </w:num>
  <w:num w:numId="18" w16cid:durableId="1534879002">
    <w:abstractNumId w:val="22"/>
  </w:num>
  <w:num w:numId="19" w16cid:durableId="356582192">
    <w:abstractNumId w:val="8"/>
  </w:num>
  <w:num w:numId="20" w16cid:durableId="1757748958">
    <w:abstractNumId w:val="4"/>
  </w:num>
  <w:num w:numId="21" w16cid:durableId="921334998">
    <w:abstractNumId w:val="20"/>
  </w:num>
  <w:num w:numId="22" w16cid:durableId="2096972844">
    <w:abstractNumId w:val="14"/>
  </w:num>
  <w:num w:numId="23" w16cid:durableId="1336423912">
    <w:abstractNumId w:val="9"/>
  </w:num>
  <w:num w:numId="24" w16cid:durableId="16038071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537C"/>
    <w:rsid w:val="000054DA"/>
    <w:rsid w:val="000073E7"/>
    <w:rsid w:val="00010429"/>
    <w:rsid w:val="000128F8"/>
    <w:rsid w:val="00012973"/>
    <w:rsid w:val="00014DFA"/>
    <w:rsid w:val="0001509B"/>
    <w:rsid w:val="0002002B"/>
    <w:rsid w:val="0002385F"/>
    <w:rsid w:val="000238BE"/>
    <w:rsid w:val="00025B62"/>
    <w:rsid w:val="00025EC6"/>
    <w:rsid w:val="0002652D"/>
    <w:rsid w:val="000301A0"/>
    <w:rsid w:val="00030840"/>
    <w:rsid w:val="000329C1"/>
    <w:rsid w:val="000331DB"/>
    <w:rsid w:val="000351F4"/>
    <w:rsid w:val="0003643E"/>
    <w:rsid w:val="000411E5"/>
    <w:rsid w:val="00042E77"/>
    <w:rsid w:val="0004492A"/>
    <w:rsid w:val="00045A50"/>
    <w:rsid w:val="00045AF7"/>
    <w:rsid w:val="00047744"/>
    <w:rsid w:val="00050277"/>
    <w:rsid w:val="000534E3"/>
    <w:rsid w:val="000545D9"/>
    <w:rsid w:val="00054D7D"/>
    <w:rsid w:val="00056FAA"/>
    <w:rsid w:val="000610BC"/>
    <w:rsid w:val="00062436"/>
    <w:rsid w:val="00064BA4"/>
    <w:rsid w:val="00067E94"/>
    <w:rsid w:val="000700F6"/>
    <w:rsid w:val="00070908"/>
    <w:rsid w:val="0007114C"/>
    <w:rsid w:val="00071F45"/>
    <w:rsid w:val="0007285B"/>
    <w:rsid w:val="0007502D"/>
    <w:rsid w:val="0007553F"/>
    <w:rsid w:val="000756EB"/>
    <w:rsid w:val="0007698C"/>
    <w:rsid w:val="0007784F"/>
    <w:rsid w:val="000779A6"/>
    <w:rsid w:val="000808D2"/>
    <w:rsid w:val="000825C2"/>
    <w:rsid w:val="00082EDE"/>
    <w:rsid w:val="00083B51"/>
    <w:rsid w:val="0008467A"/>
    <w:rsid w:val="00086B8E"/>
    <w:rsid w:val="0009229A"/>
    <w:rsid w:val="00094C2C"/>
    <w:rsid w:val="0009596E"/>
    <w:rsid w:val="00095D8D"/>
    <w:rsid w:val="00096208"/>
    <w:rsid w:val="00096C91"/>
    <w:rsid w:val="00096EE0"/>
    <w:rsid w:val="000A0F1E"/>
    <w:rsid w:val="000A5290"/>
    <w:rsid w:val="000A5608"/>
    <w:rsid w:val="000A6642"/>
    <w:rsid w:val="000A7162"/>
    <w:rsid w:val="000B2634"/>
    <w:rsid w:val="000B2A74"/>
    <w:rsid w:val="000B3FA4"/>
    <w:rsid w:val="000B56D8"/>
    <w:rsid w:val="000B61E9"/>
    <w:rsid w:val="000B7422"/>
    <w:rsid w:val="000B75EB"/>
    <w:rsid w:val="000C0268"/>
    <w:rsid w:val="000C05CF"/>
    <w:rsid w:val="000C3245"/>
    <w:rsid w:val="000C59EA"/>
    <w:rsid w:val="000C662F"/>
    <w:rsid w:val="000C6B1E"/>
    <w:rsid w:val="000D2599"/>
    <w:rsid w:val="000D278C"/>
    <w:rsid w:val="000D5871"/>
    <w:rsid w:val="000D791E"/>
    <w:rsid w:val="000D7FA3"/>
    <w:rsid w:val="000E078B"/>
    <w:rsid w:val="000E182F"/>
    <w:rsid w:val="000E1E21"/>
    <w:rsid w:val="000E2C55"/>
    <w:rsid w:val="000E7008"/>
    <w:rsid w:val="000F053E"/>
    <w:rsid w:val="000F249F"/>
    <w:rsid w:val="000F3370"/>
    <w:rsid w:val="000F39D4"/>
    <w:rsid w:val="000F50B8"/>
    <w:rsid w:val="000F6CE6"/>
    <w:rsid w:val="00101958"/>
    <w:rsid w:val="00104FC4"/>
    <w:rsid w:val="00113B05"/>
    <w:rsid w:val="00117158"/>
    <w:rsid w:val="001174B1"/>
    <w:rsid w:val="00120F10"/>
    <w:rsid w:val="00122CAE"/>
    <w:rsid w:val="0012441C"/>
    <w:rsid w:val="00126608"/>
    <w:rsid w:val="001266C1"/>
    <w:rsid w:val="0013027E"/>
    <w:rsid w:val="001315CF"/>
    <w:rsid w:val="00131EA4"/>
    <w:rsid w:val="00132E18"/>
    <w:rsid w:val="00132F07"/>
    <w:rsid w:val="001344D3"/>
    <w:rsid w:val="001344DC"/>
    <w:rsid w:val="00135905"/>
    <w:rsid w:val="00137892"/>
    <w:rsid w:val="00137F70"/>
    <w:rsid w:val="00140885"/>
    <w:rsid w:val="001409F6"/>
    <w:rsid w:val="00142DBC"/>
    <w:rsid w:val="001441BA"/>
    <w:rsid w:val="00145667"/>
    <w:rsid w:val="00146DD9"/>
    <w:rsid w:val="001501E7"/>
    <w:rsid w:val="00151375"/>
    <w:rsid w:val="001513E0"/>
    <w:rsid w:val="001517A4"/>
    <w:rsid w:val="00152CFA"/>
    <w:rsid w:val="00156081"/>
    <w:rsid w:val="001600D0"/>
    <w:rsid w:val="0016257B"/>
    <w:rsid w:val="00162916"/>
    <w:rsid w:val="00163B75"/>
    <w:rsid w:val="00165BCC"/>
    <w:rsid w:val="0016630F"/>
    <w:rsid w:val="001663F4"/>
    <w:rsid w:val="001669DC"/>
    <w:rsid w:val="0017182A"/>
    <w:rsid w:val="00171F63"/>
    <w:rsid w:val="001742EA"/>
    <w:rsid w:val="00175CFF"/>
    <w:rsid w:val="0017634D"/>
    <w:rsid w:val="00182CDB"/>
    <w:rsid w:val="00184737"/>
    <w:rsid w:val="001909CA"/>
    <w:rsid w:val="00193644"/>
    <w:rsid w:val="00195664"/>
    <w:rsid w:val="00196789"/>
    <w:rsid w:val="00197B58"/>
    <w:rsid w:val="001A0A02"/>
    <w:rsid w:val="001B00B6"/>
    <w:rsid w:val="001B17A1"/>
    <w:rsid w:val="001B27D6"/>
    <w:rsid w:val="001B2A55"/>
    <w:rsid w:val="001B3A46"/>
    <w:rsid w:val="001B4A6B"/>
    <w:rsid w:val="001B4D62"/>
    <w:rsid w:val="001B79B1"/>
    <w:rsid w:val="001C15E4"/>
    <w:rsid w:val="001C37D4"/>
    <w:rsid w:val="001C6396"/>
    <w:rsid w:val="001C71A1"/>
    <w:rsid w:val="001C78F9"/>
    <w:rsid w:val="001D144E"/>
    <w:rsid w:val="001D3CC0"/>
    <w:rsid w:val="001D77A4"/>
    <w:rsid w:val="001E0429"/>
    <w:rsid w:val="001E12EE"/>
    <w:rsid w:val="001E556C"/>
    <w:rsid w:val="001E783A"/>
    <w:rsid w:val="001F16DE"/>
    <w:rsid w:val="001F2B5D"/>
    <w:rsid w:val="001F3B60"/>
    <w:rsid w:val="001F46C1"/>
    <w:rsid w:val="001F5B89"/>
    <w:rsid w:val="001F5E9F"/>
    <w:rsid w:val="002010FF"/>
    <w:rsid w:val="00201EC7"/>
    <w:rsid w:val="00203AFA"/>
    <w:rsid w:val="00203F4C"/>
    <w:rsid w:val="0020617A"/>
    <w:rsid w:val="00206468"/>
    <w:rsid w:val="00207309"/>
    <w:rsid w:val="0021405C"/>
    <w:rsid w:val="002140CA"/>
    <w:rsid w:val="00215557"/>
    <w:rsid w:val="00217B75"/>
    <w:rsid w:val="00220972"/>
    <w:rsid w:val="00223136"/>
    <w:rsid w:val="00226F44"/>
    <w:rsid w:val="002307C5"/>
    <w:rsid w:val="0023354E"/>
    <w:rsid w:val="00235151"/>
    <w:rsid w:val="00237B30"/>
    <w:rsid w:val="002407D0"/>
    <w:rsid w:val="002422C8"/>
    <w:rsid w:val="00245811"/>
    <w:rsid w:val="00250CAA"/>
    <w:rsid w:val="002552D9"/>
    <w:rsid w:val="0025780A"/>
    <w:rsid w:val="0026232D"/>
    <w:rsid w:val="00262CF8"/>
    <w:rsid w:val="0026359F"/>
    <w:rsid w:val="00263903"/>
    <w:rsid w:val="00266AEE"/>
    <w:rsid w:val="00266ECB"/>
    <w:rsid w:val="00270797"/>
    <w:rsid w:val="002718EB"/>
    <w:rsid w:val="00273A29"/>
    <w:rsid w:val="00273BD2"/>
    <w:rsid w:val="002759E0"/>
    <w:rsid w:val="002805F3"/>
    <w:rsid w:val="002815A3"/>
    <w:rsid w:val="0028254B"/>
    <w:rsid w:val="00283423"/>
    <w:rsid w:val="002856AE"/>
    <w:rsid w:val="0028595F"/>
    <w:rsid w:val="00285DA3"/>
    <w:rsid w:val="00285F8B"/>
    <w:rsid w:val="0028663A"/>
    <w:rsid w:val="002872C6"/>
    <w:rsid w:val="00294596"/>
    <w:rsid w:val="002950B2"/>
    <w:rsid w:val="00297C13"/>
    <w:rsid w:val="002A1B3C"/>
    <w:rsid w:val="002A1E64"/>
    <w:rsid w:val="002A2478"/>
    <w:rsid w:val="002A3643"/>
    <w:rsid w:val="002A63B7"/>
    <w:rsid w:val="002A7FC0"/>
    <w:rsid w:val="002B0833"/>
    <w:rsid w:val="002B0B75"/>
    <w:rsid w:val="002B2FBC"/>
    <w:rsid w:val="002B5215"/>
    <w:rsid w:val="002B745C"/>
    <w:rsid w:val="002B79EF"/>
    <w:rsid w:val="002B7CEB"/>
    <w:rsid w:val="002C0AAF"/>
    <w:rsid w:val="002C1746"/>
    <w:rsid w:val="002C2918"/>
    <w:rsid w:val="002C2A57"/>
    <w:rsid w:val="002C48DC"/>
    <w:rsid w:val="002C546D"/>
    <w:rsid w:val="002C75FA"/>
    <w:rsid w:val="002C7846"/>
    <w:rsid w:val="002D1F31"/>
    <w:rsid w:val="002D2808"/>
    <w:rsid w:val="002D3BDF"/>
    <w:rsid w:val="002D3D98"/>
    <w:rsid w:val="002D473B"/>
    <w:rsid w:val="002D7FF1"/>
    <w:rsid w:val="002E1475"/>
    <w:rsid w:val="002E4809"/>
    <w:rsid w:val="002E5E5E"/>
    <w:rsid w:val="002E7126"/>
    <w:rsid w:val="002F11C1"/>
    <w:rsid w:val="002F194D"/>
    <w:rsid w:val="002F1BF6"/>
    <w:rsid w:val="002F4E30"/>
    <w:rsid w:val="002F5488"/>
    <w:rsid w:val="002F61A0"/>
    <w:rsid w:val="002F7EDC"/>
    <w:rsid w:val="00300844"/>
    <w:rsid w:val="00302E66"/>
    <w:rsid w:val="003033E8"/>
    <w:rsid w:val="00303AA1"/>
    <w:rsid w:val="00305829"/>
    <w:rsid w:val="00307D53"/>
    <w:rsid w:val="0031124B"/>
    <w:rsid w:val="003117CD"/>
    <w:rsid w:val="00315506"/>
    <w:rsid w:val="00315796"/>
    <w:rsid w:val="00316791"/>
    <w:rsid w:val="003173AB"/>
    <w:rsid w:val="00320D58"/>
    <w:rsid w:val="00322683"/>
    <w:rsid w:val="0032390F"/>
    <w:rsid w:val="00326803"/>
    <w:rsid w:val="003306A3"/>
    <w:rsid w:val="00330901"/>
    <w:rsid w:val="00333D00"/>
    <w:rsid w:val="00334EDE"/>
    <w:rsid w:val="0033547A"/>
    <w:rsid w:val="0033713C"/>
    <w:rsid w:val="0034140D"/>
    <w:rsid w:val="003434B8"/>
    <w:rsid w:val="00343FC0"/>
    <w:rsid w:val="003451FB"/>
    <w:rsid w:val="003511BA"/>
    <w:rsid w:val="003514DE"/>
    <w:rsid w:val="003519E4"/>
    <w:rsid w:val="00351E80"/>
    <w:rsid w:val="0035247A"/>
    <w:rsid w:val="00352D3F"/>
    <w:rsid w:val="0035373B"/>
    <w:rsid w:val="003560A6"/>
    <w:rsid w:val="00360C09"/>
    <w:rsid w:val="00360DB5"/>
    <w:rsid w:val="00360EA0"/>
    <w:rsid w:val="003612DA"/>
    <w:rsid w:val="00363909"/>
    <w:rsid w:val="00363F5D"/>
    <w:rsid w:val="00371240"/>
    <w:rsid w:val="00371A6B"/>
    <w:rsid w:val="00373822"/>
    <w:rsid w:val="00374198"/>
    <w:rsid w:val="003806CA"/>
    <w:rsid w:val="003807CA"/>
    <w:rsid w:val="00382DD2"/>
    <w:rsid w:val="00383F13"/>
    <w:rsid w:val="003864CF"/>
    <w:rsid w:val="003869F8"/>
    <w:rsid w:val="00393363"/>
    <w:rsid w:val="00394F0A"/>
    <w:rsid w:val="0039571E"/>
    <w:rsid w:val="003A0D8E"/>
    <w:rsid w:val="003A2183"/>
    <w:rsid w:val="003A2DAE"/>
    <w:rsid w:val="003A5057"/>
    <w:rsid w:val="003A5B11"/>
    <w:rsid w:val="003A60EC"/>
    <w:rsid w:val="003A66E0"/>
    <w:rsid w:val="003A714E"/>
    <w:rsid w:val="003A74D7"/>
    <w:rsid w:val="003B109B"/>
    <w:rsid w:val="003B1954"/>
    <w:rsid w:val="003B2029"/>
    <w:rsid w:val="003B312B"/>
    <w:rsid w:val="003B4FA9"/>
    <w:rsid w:val="003B5958"/>
    <w:rsid w:val="003B64C5"/>
    <w:rsid w:val="003B76E6"/>
    <w:rsid w:val="003B7C6B"/>
    <w:rsid w:val="003C278A"/>
    <w:rsid w:val="003C497F"/>
    <w:rsid w:val="003C61BC"/>
    <w:rsid w:val="003D3F7D"/>
    <w:rsid w:val="003D6256"/>
    <w:rsid w:val="003D74B2"/>
    <w:rsid w:val="003E027E"/>
    <w:rsid w:val="003E02F4"/>
    <w:rsid w:val="003E040E"/>
    <w:rsid w:val="003E2B10"/>
    <w:rsid w:val="003E3494"/>
    <w:rsid w:val="003E3925"/>
    <w:rsid w:val="003F0F71"/>
    <w:rsid w:val="003F12EE"/>
    <w:rsid w:val="003F1D65"/>
    <w:rsid w:val="003F4AE1"/>
    <w:rsid w:val="003F5D47"/>
    <w:rsid w:val="003F67EF"/>
    <w:rsid w:val="003F76FB"/>
    <w:rsid w:val="003F7832"/>
    <w:rsid w:val="004003B3"/>
    <w:rsid w:val="00403E95"/>
    <w:rsid w:val="00403ECB"/>
    <w:rsid w:val="00403FA3"/>
    <w:rsid w:val="00404713"/>
    <w:rsid w:val="00413496"/>
    <w:rsid w:val="00414BFB"/>
    <w:rsid w:val="004157A1"/>
    <w:rsid w:val="0041637F"/>
    <w:rsid w:val="00417530"/>
    <w:rsid w:val="004209CB"/>
    <w:rsid w:val="004219D1"/>
    <w:rsid w:val="00422F58"/>
    <w:rsid w:val="004240B4"/>
    <w:rsid w:val="004250D1"/>
    <w:rsid w:val="00426C75"/>
    <w:rsid w:val="00426CC1"/>
    <w:rsid w:val="00426CCF"/>
    <w:rsid w:val="0042762C"/>
    <w:rsid w:val="0043154E"/>
    <w:rsid w:val="00431A5F"/>
    <w:rsid w:val="00431C7D"/>
    <w:rsid w:val="00433911"/>
    <w:rsid w:val="00433F77"/>
    <w:rsid w:val="00435FBE"/>
    <w:rsid w:val="0043730B"/>
    <w:rsid w:val="00437E31"/>
    <w:rsid w:val="00443223"/>
    <w:rsid w:val="004450E5"/>
    <w:rsid w:val="0044752C"/>
    <w:rsid w:val="0044771E"/>
    <w:rsid w:val="00450F8A"/>
    <w:rsid w:val="00452E1A"/>
    <w:rsid w:val="0045669F"/>
    <w:rsid w:val="004566B8"/>
    <w:rsid w:val="00456D1B"/>
    <w:rsid w:val="004578D4"/>
    <w:rsid w:val="004624CA"/>
    <w:rsid w:val="00462C0D"/>
    <w:rsid w:val="00463348"/>
    <w:rsid w:val="00463693"/>
    <w:rsid w:val="00465278"/>
    <w:rsid w:val="00465B77"/>
    <w:rsid w:val="00465CA9"/>
    <w:rsid w:val="00471904"/>
    <w:rsid w:val="00471FED"/>
    <w:rsid w:val="00472613"/>
    <w:rsid w:val="004746FA"/>
    <w:rsid w:val="00474D1F"/>
    <w:rsid w:val="00474DE0"/>
    <w:rsid w:val="00477082"/>
    <w:rsid w:val="0047716D"/>
    <w:rsid w:val="00482A4A"/>
    <w:rsid w:val="00483E4D"/>
    <w:rsid w:val="00484FED"/>
    <w:rsid w:val="00486317"/>
    <w:rsid w:val="0048643C"/>
    <w:rsid w:val="00486ADF"/>
    <w:rsid w:val="00487C45"/>
    <w:rsid w:val="004901C6"/>
    <w:rsid w:val="004909FF"/>
    <w:rsid w:val="00491C17"/>
    <w:rsid w:val="00492B05"/>
    <w:rsid w:val="004955BF"/>
    <w:rsid w:val="0049756A"/>
    <w:rsid w:val="00497695"/>
    <w:rsid w:val="00497A81"/>
    <w:rsid w:val="004A2944"/>
    <w:rsid w:val="004A39D0"/>
    <w:rsid w:val="004B10D0"/>
    <w:rsid w:val="004B2855"/>
    <w:rsid w:val="004B40F8"/>
    <w:rsid w:val="004B4725"/>
    <w:rsid w:val="004B47D6"/>
    <w:rsid w:val="004B64DE"/>
    <w:rsid w:val="004B73E4"/>
    <w:rsid w:val="004C13BB"/>
    <w:rsid w:val="004C408D"/>
    <w:rsid w:val="004C4253"/>
    <w:rsid w:val="004C46B8"/>
    <w:rsid w:val="004C4868"/>
    <w:rsid w:val="004C7CEB"/>
    <w:rsid w:val="004D006D"/>
    <w:rsid w:val="004D3681"/>
    <w:rsid w:val="004D5B8A"/>
    <w:rsid w:val="004D5D40"/>
    <w:rsid w:val="004D7EA7"/>
    <w:rsid w:val="004E2159"/>
    <w:rsid w:val="004E3867"/>
    <w:rsid w:val="004E63F8"/>
    <w:rsid w:val="004F5225"/>
    <w:rsid w:val="004F68F4"/>
    <w:rsid w:val="00500814"/>
    <w:rsid w:val="00501A40"/>
    <w:rsid w:val="0050731C"/>
    <w:rsid w:val="00512431"/>
    <w:rsid w:val="0051365D"/>
    <w:rsid w:val="005138C1"/>
    <w:rsid w:val="00513B31"/>
    <w:rsid w:val="00514165"/>
    <w:rsid w:val="00514203"/>
    <w:rsid w:val="005150F1"/>
    <w:rsid w:val="00515388"/>
    <w:rsid w:val="00516195"/>
    <w:rsid w:val="005176D3"/>
    <w:rsid w:val="00517D85"/>
    <w:rsid w:val="00532867"/>
    <w:rsid w:val="00534FC5"/>
    <w:rsid w:val="005362AF"/>
    <w:rsid w:val="00537C3A"/>
    <w:rsid w:val="00540306"/>
    <w:rsid w:val="00540BEA"/>
    <w:rsid w:val="00542434"/>
    <w:rsid w:val="00542D54"/>
    <w:rsid w:val="005501FF"/>
    <w:rsid w:val="00552DEE"/>
    <w:rsid w:val="00557D72"/>
    <w:rsid w:val="0056136E"/>
    <w:rsid w:val="00564903"/>
    <w:rsid w:val="00564A6D"/>
    <w:rsid w:val="00566044"/>
    <w:rsid w:val="005674AF"/>
    <w:rsid w:val="00567A30"/>
    <w:rsid w:val="00572CB5"/>
    <w:rsid w:val="005736B4"/>
    <w:rsid w:val="00573960"/>
    <w:rsid w:val="0057662F"/>
    <w:rsid w:val="005771B3"/>
    <w:rsid w:val="00577525"/>
    <w:rsid w:val="0058035E"/>
    <w:rsid w:val="00581AED"/>
    <w:rsid w:val="00581C6C"/>
    <w:rsid w:val="00582879"/>
    <w:rsid w:val="00584469"/>
    <w:rsid w:val="0058515E"/>
    <w:rsid w:val="005852F8"/>
    <w:rsid w:val="005859FB"/>
    <w:rsid w:val="00585E90"/>
    <w:rsid w:val="00587B7D"/>
    <w:rsid w:val="00587FC3"/>
    <w:rsid w:val="005927CC"/>
    <w:rsid w:val="00597324"/>
    <w:rsid w:val="005A14CC"/>
    <w:rsid w:val="005A2F57"/>
    <w:rsid w:val="005A576C"/>
    <w:rsid w:val="005A5F47"/>
    <w:rsid w:val="005A74E6"/>
    <w:rsid w:val="005B05EB"/>
    <w:rsid w:val="005B25E9"/>
    <w:rsid w:val="005B3E6F"/>
    <w:rsid w:val="005B5731"/>
    <w:rsid w:val="005B72A1"/>
    <w:rsid w:val="005C03C7"/>
    <w:rsid w:val="005C0C76"/>
    <w:rsid w:val="005C1A32"/>
    <w:rsid w:val="005C1F4D"/>
    <w:rsid w:val="005C3829"/>
    <w:rsid w:val="005C4A8B"/>
    <w:rsid w:val="005D2418"/>
    <w:rsid w:val="005D3C1E"/>
    <w:rsid w:val="005D5243"/>
    <w:rsid w:val="005D64D8"/>
    <w:rsid w:val="005D7527"/>
    <w:rsid w:val="005E0497"/>
    <w:rsid w:val="005E0EC4"/>
    <w:rsid w:val="005E304F"/>
    <w:rsid w:val="005E4202"/>
    <w:rsid w:val="005E5D5C"/>
    <w:rsid w:val="005F265C"/>
    <w:rsid w:val="005F47CF"/>
    <w:rsid w:val="005F68CF"/>
    <w:rsid w:val="005F7C64"/>
    <w:rsid w:val="00602487"/>
    <w:rsid w:val="00602501"/>
    <w:rsid w:val="00602E79"/>
    <w:rsid w:val="006047A5"/>
    <w:rsid w:val="00606514"/>
    <w:rsid w:val="00606598"/>
    <w:rsid w:val="00606934"/>
    <w:rsid w:val="0060791E"/>
    <w:rsid w:val="00613274"/>
    <w:rsid w:val="00616FBF"/>
    <w:rsid w:val="0062186B"/>
    <w:rsid w:val="00621A53"/>
    <w:rsid w:val="0062259C"/>
    <w:rsid w:val="006243EC"/>
    <w:rsid w:val="006246C8"/>
    <w:rsid w:val="00624F0D"/>
    <w:rsid w:val="00625C93"/>
    <w:rsid w:val="00626515"/>
    <w:rsid w:val="006268D0"/>
    <w:rsid w:val="00627422"/>
    <w:rsid w:val="0063059C"/>
    <w:rsid w:val="00631FC0"/>
    <w:rsid w:val="00635154"/>
    <w:rsid w:val="006407A6"/>
    <w:rsid w:val="00641B08"/>
    <w:rsid w:val="006454C0"/>
    <w:rsid w:val="006469C0"/>
    <w:rsid w:val="0065591A"/>
    <w:rsid w:val="006560D6"/>
    <w:rsid w:val="00656D1A"/>
    <w:rsid w:val="0065777D"/>
    <w:rsid w:val="00657E24"/>
    <w:rsid w:val="006604A0"/>
    <w:rsid w:val="00662ABD"/>
    <w:rsid w:val="006632AB"/>
    <w:rsid w:val="0066560E"/>
    <w:rsid w:val="00667F27"/>
    <w:rsid w:val="00671897"/>
    <w:rsid w:val="006735D0"/>
    <w:rsid w:val="00673F44"/>
    <w:rsid w:val="0067451E"/>
    <w:rsid w:val="00674CB5"/>
    <w:rsid w:val="00675CB8"/>
    <w:rsid w:val="00676748"/>
    <w:rsid w:val="00681CB1"/>
    <w:rsid w:val="0068374C"/>
    <w:rsid w:val="00684100"/>
    <w:rsid w:val="00687056"/>
    <w:rsid w:val="00693256"/>
    <w:rsid w:val="0069529F"/>
    <w:rsid w:val="006971DF"/>
    <w:rsid w:val="006A0046"/>
    <w:rsid w:val="006A290F"/>
    <w:rsid w:val="006A32F0"/>
    <w:rsid w:val="006A3F87"/>
    <w:rsid w:val="006A5D5F"/>
    <w:rsid w:val="006A6DB1"/>
    <w:rsid w:val="006B04CD"/>
    <w:rsid w:val="006B33CD"/>
    <w:rsid w:val="006B4028"/>
    <w:rsid w:val="006B480C"/>
    <w:rsid w:val="006B493D"/>
    <w:rsid w:val="006B5340"/>
    <w:rsid w:val="006B5948"/>
    <w:rsid w:val="006B7AE8"/>
    <w:rsid w:val="006C0C3B"/>
    <w:rsid w:val="006C4501"/>
    <w:rsid w:val="006C47B1"/>
    <w:rsid w:val="006C5017"/>
    <w:rsid w:val="006D083C"/>
    <w:rsid w:val="006D1E36"/>
    <w:rsid w:val="006D28E2"/>
    <w:rsid w:val="006D2E28"/>
    <w:rsid w:val="006D3878"/>
    <w:rsid w:val="006D57FE"/>
    <w:rsid w:val="006D6D40"/>
    <w:rsid w:val="006E3BEB"/>
    <w:rsid w:val="006E56D0"/>
    <w:rsid w:val="006E79A0"/>
    <w:rsid w:val="006F0E4E"/>
    <w:rsid w:val="006F1DD2"/>
    <w:rsid w:val="006F1FCB"/>
    <w:rsid w:val="006F3B13"/>
    <w:rsid w:val="006F3E7B"/>
    <w:rsid w:val="006F4102"/>
    <w:rsid w:val="006F678D"/>
    <w:rsid w:val="006F7E8A"/>
    <w:rsid w:val="007003C3"/>
    <w:rsid w:val="00700862"/>
    <w:rsid w:val="00700FFE"/>
    <w:rsid w:val="0070389C"/>
    <w:rsid w:val="007039F2"/>
    <w:rsid w:val="00703E2D"/>
    <w:rsid w:val="00705798"/>
    <w:rsid w:val="00705F17"/>
    <w:rsid w:val="00706202"/>
    <w:rsid w:val="00706E5A"/>
    <w:rsid w:val="00707B6E"/>
    <w:rsid w:val="00711F21"/>
    <w:rsid w:val="007143CA"/>
    <w:rsid w:val="00715D71"/>
    <w:rsid w:val="0072085C"/>
    <w:rsid w:val="00720BE7"/>
    <w:rsid w:val="00722530"/>
    <w:rsid w:val="007225CF"/>
    <w:rsid w:val="007227F3"/>
    <w:rsid w:val="00722BDC"/>
    <w:rsid w:val="00724361"/>
    <w:rsid w:val="0072526F"/>
    <w:rsid w:val="00725308"/>
    <w:rsid w:val="007267FF"/>
    <w:rsid w:val="00726BCE"/>
    <w:rsid w:val="00730305"/>
    <w:rsid w:val="00730C7D"/>
    <w:rsid w:val="00735662"/>
    <w:rsid w:val="00735D7C"/>
    <w:rsid w:val="00736882"/>
    <w:rsid w:val="00736BFA"/>
    <w:rsid w:val="0073706D"/>
    <w:rsid w:val="007370A0"/>
    <w:rsid w:val="007373FB"/>
    <w:rsid w:val="00737805"/>
    <w:rsid w:val="00740E3B"/>
    <w:rsid w:val="007418B7"/>
    <w:rsid w:val="00747598"/>
    <w:rsid w:val="00752CD3"/>
    <w:rsid w:val="0075359D"/>
    <w:rsid w:val="00753764"/>
    <w:rsid w:val="007539EE"/>
    <w:rsid w:val="00756146"/>
    <w:rsid w:val="007606E8"/>
    <w:rsid w:val="00760AA8"/>
    <w:rsid w:val="00761AA7"/>
    <w:rsid w:val="00761B41"/>
    <w:rsid w:val="0076356A"/>
    <w:rsid w:val="0076359D"/>
    <w:rsid w:val="00764767"/>
    <w:rsid w:val="007653AC"/>
    <w:rsid w:val="00766847"/>
    <w:rsid w:val="007712A3"/>
    <w:rsid w:val="007719DB"/>
    <w:rsid w:val="00773342"/>
    <w:rsid w:val="00776402"/>
    <w:rsid w:val="007775C2"/>
    <w:rsid w:val="0078400F"/>
    <w:rsid w:val="007870F3"/>
    <w:rsid w:val="007904E8"/>
    <w:rsid w:val="00794002"/>
    <w:rsid w:val="00794B8E"/>
    <w:rsid w:val="007A0631"/>
    <w:rsid w:val="007A1752"/>
    <w:rsid w:val="007A22DC"/>
    <w:rsid w:val="007A2415"/>
    <w:rsid w:val="007A4ACF"/>
    <w:rsid w:val="007A5679"/>
    <w:rsid w:val="007A7B79"/>
    <w:rsid w:val="007B10A1"/>
    <w:rsid w:val="007B796A"/>
    <w:rsid w:val="007B7C95"/>
    <w:rsid w:val="007C2068"/>
    <w:rsid w:val="007C314E"/>
    <w:rsid w:val="007C5444"/>
    <w:rsid w:val="007C72A0"/>
    <w:rsid w:val="007D0D89"/>
    <w:rsid w:val="007D10F5"/>
    <w:rsid w:val="007D3E2D"/>
    <w:rsid w:val="007D5C84"/>
    <w:rsid w:val="007D612F"/>
    <w:rsid w:val="007D7250"/>
    <w:rsid w:val="007D7989"/>
    <w:rsid w:val="007E0541"/>
    <w:rsid w:val="007E1AA0"/>
    <w:rsid w:val="007E283B"/>
    <w:rsid w:val="007E4104"/>
    <w:rsid w:val="007E6506"/>
    <w:rsid w:val="007E6630"/>
    <w:rsid w:val="007E708A"/>
    <w:rsid w:val="007E74CE"/>
    <w:rsid w:val="007F0DFF"/>
    <w:rsid w:val="007F18C7"/>
    <w:rsid w:val="007F21E1"/>
    <w:rsid w:val="007F249A"/>
    <w:rsid w:val="007F49B2"/>
    <w:rsid w:val="007F4BB5"/>
    <w:rsid w:val="007F4CD1"/>
    <w:rsid w:val="007F5F30"/>
    <w:rsid w:val="007F6563"/>
    <w:rsid w:val="008001A5"/>
    <w:rsid w:val="00802DD7"/>
    <w:rsid w:val="00807728"/>
    <w:rsid w:val="00810C20"/>
    <w:rsid w:val="0082299C"/>
    <w:rsid w:val="00822A85"/>
    <w:rsid w:val="00823721"/>
    <w:rsid w:val="00830009"/>
    <w:rsid w:val="00830C15"/>
    <w:rsid w:val="00832FAA"/>
    <w:rsid w:val="008335D0"/>
    <w:rsid w:val="00834910"/>
    <w:rsid w:val="008355C2"/>
    <w:rsid w:val="008359C8"/>
    <w:rsid w:val="0084320C"/>
    <w:rsid w:val="00843501"/>
    <w:rsid w:val="0084630D"/>
    <w:rsid w:val="00850AE3"/>
    <w:rsid w:val="00851D66"/>
    <w:rsid w:val="0085229E"/>
    <w:rsid w:val="00852784"/>
    <w:rsid w:val="0085449F"/>
    <w:rsid w:val="00855C78"/>
    <w:rsid w:val="00861D16"/>
    <w:rsid w:val="0086371E"/>
    <w:rsid w:val="008640CC"/>
    <w:rsid w:val="008645E3"/>
    <w:rsid w:val="00864828"/>
    <w:rsid w:val="00865DE7"/>
    <w:rsid w:val="00870743"/>
    <w:rsid w:val="008709B8"/>
    <w:rsid w:val="00872919"/>
    <w:rsid w:val="008745A6"/>
    <w:rsid w:val="0087502F"/>
    <w:rsid w:val="008761E2"/>
    <w:rsid w:val="00877A34"/>
    <w:rsid w:val="00877A71"/>
    <w:rsid w:val="00877FD6"/>
    <w:rsid w:val="0088091F"/>
    <w:rsid w:val="00881317"/>
    <w:rsid w:val="008841B2"/>
    <w:rsid w:val="00884540"/>
    <w:rsid w:val="008873F6"/>
    <w:rsid w:val="0089083D"/>
    <w:rsid w:val="0089237A"/>
    <w:rsid w:val="008940F6"/>
    <w:rsid w:val="0089609B"/>
    <w:rsid w:val="008A325F"/>
    <w:rsid w:val="008A53DD"/>
    <w:rsid w:val="008A6A0D"/>
    <w:rsid w:val="008A7B08"/>
    <w:rsid w:val="008B1641"/>
    <w:rsid w:val="008B38DD"/>
    <w:rsid w:val="008B3B1D"/>
    <w:rsid w:val="008B4133"/>
    <w:rsid w:val="008B4601"/>
    <w:rsid w:val="008B6191"/>
    <w:rsid w:val="008B6B17"/>
    <w:rsid w:val="008C140F"/>
    <w:rsid w:val="008C2FB2"/>
    <w:rsid w:val="008D0359"/>
    <w:rsid w:val="008D0556"/>
    <w:rsid w:val="008D12BF"/>
    <w:rsid w:val="008D367F"/>
    <w:rsid w:val="008D43FA"/>
    <w:rsid w:val="008D4793"/>
    <w:rsid w:val="008D4CBD"/>
    <w:rsid w:val="008E03EC"/>
    <w:rsid w:val="008E120A"/>
    <w:rsid w:val="008E2FCC"/>
    <w:rsid w:val="008E3093"/>
    <w:rsid w:val="008E6C1E"/>
    <w:rsid w:val="008E7B78"/>
    <w:rsid w:val="008E7BB1"/>
    <w:rsid w:val="008F2563"/>
    <w:rsid w:val="008F2FB1"/>
    <w:rsid w:val="008F757B"/>
    <w:rsid w:val="00900828"/>
    <w:rsid w:val="00900D31"/>
    <w:rsid w:val="00902F52"/>
    <w:rsid w:val="00903812"/>
    <w:rsid w:val="00904A57"/>
    <w:rsid w:val="00906663"/>
    <w:rsid w:val="0091352A"/>
    <w:rsid w:val="00914AA2"/>
    <w:rsid w:val="00915392"/>
    <w:rsid w:val="00916AE4"/>
    <w:rsid w:val="00917E2A"/>
    <w:rsid w:val="00925ABF"/>
    <w:rsid w:val="00925E78"/>
    <w:rsid w:val="00931A3A"/>
    <w:rsid w:val="00931A41"/>
    <w:rsid w:val="009320E3"/>
    <w:rsid w:val="009329E8"/>
    <w:rsid w:val="00933915"/>
    <w:rsid w:val="009422AB"/>
    <w:rsid w:val="009430AD"/>
    <w:rsid w:val="00944CB0"/>
    <w:rsid w:val="0095060E"/>
    <w:rsid w:val="009518D2"/>
    <w:rsid w:val="00951E80"/>
    <w:rsid w:val="00953E8A"/>
    <w:rsid w:val="009674B8"/>
    <w:rsid w:val="00970410"/>
    <w:rsid w:val="00970D43"/>
    <w:rsid w:val="00971CE0"/>
    <w:rsid w:val="009755D6"/>
    <w:rsid w:val="009805BD"/>
    <w:rsid w:val="0098118D"/>
    <w:rsid w:val="00981E50"/>
    <w:rsid w:val="0098268D"/>
    <w:rsid w:val="009827BA"/>
    <w:rsid w:val="0098461E"/>
    <w:rsid w:val="00985076"/>
    <w:rsid w:val="009855A5"/>
    <w:rsid w:val="0098586D"/>
    <w:rsid w:val="00987C51"/>
    <w:rsid w:val="00993166"/>
    <w:rsid w:val="00993332"/>
    <w:rsid w:val="0099391B"/>
    <w:rsid w:val="0099637D"/>
    <w:rsid w:val="00997723"/>
    <w:rsid w:val="009A3228"/>
    <w:rsid w:val="009A3B0D"/>
    <w:rsid w:val="009A577D"/>
    <w:rsid w:val="009A7C06"/>
    <w:rsid w:val="009B03A5"/>
    <w:rsid w:val="009B275D"/>
    <w:rsid w:val="009B3380"/>
    <w:rsid w:val="009B3925"/>
    <w:rsid w:val="009B6768"/>
    <w:rsid w:val="009B799E"/>
    <w:rsid w:val="009C09F9"/>
    <w:rsid w:val="009C25C1"/>
    <w:rsid w:val="009C39F9"/>
    <w:rsid w:val="009C4138"/>
    <w:rsid w:val="009C459A"/>
    <w:rsid w:val="009D0DE8"/>
    <w:rsid w:val="009D1EF2"/>
    <w:rsid w:val="009D2F67"/>
    <w:rsid w:val="009D3B98"/>
    <w:rsid w:val="009D4204"/>
    <w:rsid w:val="009D4F3C"/>
    <w:rsid w:val="009D4F40"/>
    <w:rsid w:val="009E24DC"/>
    <w:rsid w:val="009E3C87"/>
    <w:rsid w:val="009E46E2"/>
    <w:rsid w:val="009E4B0D"/>
    <w:rsid w:val="009E4DB0"/>
    <w:rsid w:val="009E7D17"/>
    <w:rsid w:val="009F05C3"/>
    <w:rsid w:val="009F0CFA"/>
    <w:rsid w:val="009F3242"/>
    <w:rsid w:val="009F3EA5"/>
    <w:rsid w:val="009F55B3"/>
    <w:rsid w:val="009F5A7B"/>
    <w:rsid w:val="009F638A"/>
    <w:rsid w:val="00A00BCB"/>
    <w:rsid w:val="00A01230"/>
    <w:rsid w:val="00A06DC4"/>
    <w:rsid w:val="00A06F4C"/>
    <w:rsid w:val="00A12F22"/>
    <w:rsid w:val="00A140C4"/>
    <w:rsid w:val="00A160B4"/>
    <w:rsid w:val="00A160EE"/>
    <w:rsid w:val="00A178A2"/>
    <w:rsid w:val="00A21DD3"/>
    <w:rsid w:val="00A241FD"/>
    <w:rsid w:val="00A25CE3"/>
    <w:rsid w:val="00A26F24"/>
    <w:rsid w:val="00A270B2"/>
    <w:rsid w:val="00A3196A"/>
    <w:rsid w:val="00A33B90"/>
    <w:rsid w:val="00A33EF5"/>
    <w:rsid w:val="00A3617B"/>
    <w:rsid w:val="00A36BE4"/>
    <w:rsid w:val="00A37B5D"/>
    <w:rsid w:val="00A413C4"/>
    <w:rsid w:val="00A4153B"/>
    <w:rsid w:val="00A419F2"/>
    <w:rsid w:val="00A420EE"/>
    <w:rsid w:val="00A428D7"/>
    <w:rsid w:val="00A440B8"/>
    <w:rsid w:val="00A44CF3"/>
    <w:rsid w:val="00A47932"/>
    <w:rsid w:val="00A50459"/>
    <w:rsid w:val="00A541A1"/>
    <w:rsid w:val="00A54292"/>
    <w:rsid w:val="00A54816"/>
    <w:rsid w:val="00A54F47"/>
    <w:rsid w:val="00A554CE"/>
    <w:rsid w:val="00A5593B"/>
    <w:rsid w:val="00A60F03"/>
    <w:rsid w:val="00A628C2"/>
    <w:rsid w:val="00A701DD"/>
    <w:rsid w:val="00A71D3B"/>
    <w:rsid w:val="00A72113"/>
    <w:rsid w:val="00A73754"/>
    <w:rsid w:val="00A73802"/>
    <w:rsid w:val="00A80136"/>
    <w:rsid w:val="00A807C9"/>
    <w:rsid w:val="00A80F69"/>
    <w:rsid w:val="00A816D3"/>
    <w:rsid w:val="00A819EB"/>
    <w:rsid w:val="00A8318D"/>
    <w:rsid w:val="00A8320F"/>
    <w:rsid w:val="00A8375D"/>
    <w:rsid w:val="00A8445B"/>
    <w:rsid w:val="00A8484E"/>
    <w:rsid w:val="00A8639D"/>
    <w:rsid w:val="00A86628"/>
    <w:rsid w:val="00A87502"/>
    <w:rsid w:val="00A91C45"/>
    <w:rsid w:val="00A9434D"/>
    <w:rsid w:val="00A96FAD"/>
    <w:rsid w:val="00A972A4"/>
    <w:rsid w:val="00A97E8E"/>
    <w:rsid w:val="00AA0677"/>
    <w:rsid w:val="00AA1F7F"/>
    <w:rsid w:val="00AA3945"/>
    <w:rsid w:val="00AA6E78"/>
    <w:rsid w:val="00AB25AB"/>
    <w:rsid w:val="00AB2F33"/>
    <w:rsid w:val="00AB4BED"/>
    <w:rsid w:val="00AB6AC5"/>
    <w:rsid w:val="00AC2363"/>
    <w:rsid w:val="00AC61EC"/>
    <w:rsid w:val="00AC72F0"/>
    <w:rsid w:val="00AC7892"/>
    <w:rsid w:val="00AC791A"/>
    <w:rsid w:val="00AD198A"/>
    <w:rsid w:val="00AD392C"/>
    <w:rsid w:val="00AD7126"/>
    <w:rsid w:val="00AE05C4"/>
    <w:rsid w:val="00AE59F0"/>
    <w:rsid w:val="00AE6C6D"/>
    <w:rsid w:val="00AF0285"/>
    <w:rsid w:val="00B000DB"/>
    <w:rsid w:val="00B06988"/>
    <w:rsid w:val="00B1087F"/>
    <w:rsid w:val="00B11633"/>
    <w:rsid w:val="00B12607"/>
    <w:rsid w:val="00B136C8"/>
    <w:rsid w:val="00B20EB9"/>
    <w:rsid w:val="00B21A38"/>
    <w:rsid w:val="00B2208A"/>
    <w:rsid w:val="00B2375E"/>
    <w:rsid w:val="00B25D04"/>
    <w:rsid w:val="00B26E89"/>
    <w:rsid w:val="00B359F1"/>
    <w:rsid w:val="00B41260"/>
    <w:rsid w:val="00B41A1F"/>
    <w:rsid w:val="00B4316D"/>
    <w:rsid w:val="00B436F2"/>
    <w:rsid w:val="00B442B4"/>
    <w:rsid w:val="00B5290C"/>
    <w:rsid w:val="00B530A0"/>
    <w:rsid w:val="00B579B2"/>
    <w:rsid w:val="00B65329"/>
    <w:rsid w:val="00B6725F"/>
    <w:rsid w:val="00B70335"/>
    <w:rsid w:val="00B72875"/>
    <w:rsid w:val="00B740FF"/>
    <w:rsid w:val="00B745E9"/>
    <w:rsid w:val="00B77ED0"/>
    <w:rsid w:val="00B81F48"/>
    <w:rsid w:val="00B82D5D"/>
    <w:rsid w:val="00B830DD"/>
    <w:rsid w:val="00B8325F"/>
    <w:rsid w:val="00B85CF8"/>
    <w:rsid w:val="00B86DB6"/>
    <w:rsid w:val="00B9065D"/>
    <w:rsid w:val="00B9232D"/>
    <w:rsid w:val="00B923F1"/>
    <w:rsid w:val="00B93AD1"/>
    <w:rsid w:val="00B93FBE"/>
    <w:rsid w:val="00B94763"/>
    <w:rsid w:val="00BA1F43"/>
    <w:rsid w:val="00BA31AA"/>
    <w:rsid w:val="00BA4041"/>
    <w:rsid w:val="00BA4230"/>
    <w:rsid w:val="00BA42DA"/>
    <w:rsid w:val="00BA4468"/>
    <w:rsid w:val="00BA5201"/>
    <w:rsid w:val="00BB11ED"/>
    <w:rsid w:val="00BB1545"/>
    <w:rsid w:val="00BB1802"/>
    <w:rsid w:val="00BB304A"/>
    <w:rsid w:val="00BB3C09"/>
    <w:rsid w:val="00BB3FC9"/>
    <w:rsid w:val="00BB657B"/>
    <w:rsid w:val="00BB7E7F"/>
    <w:rsid w:val="00BC12FE"/>
    <w:rsid w:val="00BC1827"/>
    <w:rsid w:val="00BC237F"/>
    <w:rsid w:val="00BC2DA6"/>
    <w:rsid w:val="00BC589A"/>
    <w:rsid w:val="00BD0868"/>
    <w:rsid w:val="00BD710E"/>
    <w:rsid w:val="00BD75AF"/>
    <w:rsid w:val="00BE3E96"/>
    <w:rsid w:val="00BE6932"/>
    <w:rsid w:val="00BF4704"/>
    <w:rsid w:val="00BF51E6"/>
    <w:rsid w:val="00BF73F0"/>
    <w:rsid w:val="00BF7961"/>
    <w:rsid w:val="00C03748"/>
    <w:rsid w:val="00C04104"/>
    <w:rsid w:val="00C049BD"/>
    <w:rsid w:val="00C10460"/>
    <w:rsid w:val="00C10AAB"/>
    <w:rsid w:val="00C10F89"/>
    <w:rsid w:val="00C11A9A"/>
    <w:rsid w:val="00C11D3B"/>
    <w:rsid w:val="00C1543B"/>
    <w:rsid w:val="00C20CC5"/>
    <w:rsid w:val="00C212C5"/>
    <w:rsid w:val="00C2134C"/>
    <w:rsid w:val="00C23E09"/>
    <w:rsid w:val="00C30819"/>
    <w:rsid w:val="00C32D6D"/>
    <w:rsid w:val="00C33295"/>
    <w:rsid w:val="00C33DD7"/>
    <w:rsid w:val="00C36D69"/>
    <w:rsid w:val="00C406FB"/>
    <w:rsid w:val="00C4100B"/>
    <w:rsid w:val="00C410A5"/>
    <w:rsid w:val="00C45EA3"/>
    <w:rsid w:val="00C4792E"/>
    <w:rsid w:val="00C5065A"/>
    <w:rsid w:val="00C509C4"/>
    <w:rsid w:val="00C56180"/>
    <w:rsid w:val="00C61DAC"/>
    <w:rsid w:val="00C628C9"/>
    <w:rsid w:val="00C6414D"/>
    <w:rsid w:val="00C6472A"/>
    <w:rsid w:val="00C64EEA"/>
    <w:rsid w:val="00C67A61"/>
    <w:rsid w:val="00C71790"/>
    <w:rsid w:val="00C733C3"/>
    <w:rsid w:val="00C73AAF"/>
    <w:rsid w:val="00C76E7C"/>
    <w:rsid w:val="00C81613"/>
    <w:rsid w:val="00C82888"/>
    <w:rsid w:val="00C83494"/>
    <w:rsid w:val="00C83EA4"/>
    <w:rsid w:val="00C84B7F"/>
    <w:rsid w:val="00C8520A"/>
    <w:rsid w:val="00C86576"/>
    <w:rsid w:val="00C87A25"/>
    <w:rsid w:val="00C9098F"/>
    <w:rsid w:val="00C92DB0"/>
    <w:rsid w:val="00C93EAA"/>
    <w:rsid w:val="00C943C1"/>
    <w:rsid w:val="00C94DCD"/>
    <w:rsid w:val="00C95BD4"/>
    <w:rsid w:val="00C9763D"/>
    <w:rsid w:val="00CA147F"/>
    <w:rsid w:val="00CA4627"/>
    <w:rsid w:val="00CA4B81"/>
    <w:rsid w:val="00CB1303"/>
    <w:rsid w:val="00CB3F1D"/>
    <w:rsid w:val="00CB6A03"/>
    <w:rsid w:val="00CB74C6"/>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1205"/>
    <w:rsid w:val="00CE1400"/>
    <w:rsid w:val="00CE1AAF"/>
    <w:rsid w:val="00CE2BFA"/>
    <w:rsid w:val="00CF366E"/>
    <w:rsid w:val="00CF60B5"/>
    <w:rsid w:val="00CF72F4"/>
    <w:rsid w:val="00D027AD"/>
    <w:rsid w:val="00D02A8C"/>
    <w:rsid w:val="00D02A93"/>
    <w:rsid w:val="00D02F38"/>
    <w:rsid w:val="00D03827"/>
    <w:rsid w:val="00D05DE8"/>
    <w:rsid w:val="00D073B5"/>
    <w:rsid w:val="00D12B43"/>
    <w:rsid w:val="00D15C74"/>
    <w:rsid w:val="00D15F46"/>
    <w:rsid w:val="00D16824"/>
    <w:rsid w:val="00D25269"/>
    <w:rsid w:val="00D252CB"/>
    <w:rsid w:val="00D31827"/>
    <w:rsid w:val="00D336DA"/>
    <w:rsid w:val="00D33FB6"/>
    <w:rsid w:val="00D3500F"/>
    <w:rsid w:val="00D35BD2"/>
    <w:rsid w:val="00D365BA"/>
    <w:rsid w:val="00D371B3"/>
    <w:rsid w:val="00D42452"/>
    <w:rsid w:val="00D448ED"/>
    <w:rsid w:val="00D4653F"/>
    <w:rsid w:val="00D50F88"/>
    <w:rsid w:val="00D52AB6"/>
    <w:rsid w:val="00D5391C"/>
    <w:rsid w:val="00D5502F"/>
    <w:rsid w:val="00D55136"/>
    <w:rsid w:val="00D55F3B"/>
    <w:rsid w:val="00D57FDC"/>
    <w:rsid w:val="00D60132"/>
    <w:rsid w:val="00D603D1"/>
    <w:rsid w:val="00D6076A"/>
    <w:rsid w:val="00D6210B"/>
    <w:rsid w:val="00D62274"/>
    <w:rsid w:val="00D627DA"/>
    <w:rsid w:val="00D6646A"/>
    <w:rsid w:val="00D66893"/>
    <w:rsid w:val="00D7166D"/>
    <w:rsid w:val="00D71C35"/>
    <w:rsid w:val="00D75E88"/>
    <w:rsid w:val="00D77D17"/>
    <w:rsid w:val="00D80D3B"/>
    <w:rsid w:val="00D82BCB"/>
    <w:rsid w:val="00D82D97"/>
    <w:rsid w:val="00D8339E"/>
    <w:rsid w:val="00D855DF"/>
    <w:rsid w:val="00D875E9"/>
    <w:rsid w:val="00D956E1"/>
    <w:rsid w:val="00D9625C"/>
    <w:rsid w:val="00D96932"/>
    <w:rsid w:val="00DA0394"/>
    <w:rsid w:val="00DA151F"/>
    <w:rsid w:val="00DA1AF1"/>
    <w:rsid w:val="00DA2C9F"/>
    <w:rsid w:val="00DA400C"/>
    <w:rsid w:val="00DA5823"/>
    <w:rsid w:val="00DA62DB"/>
    <w:rsid w:val="00DA7718"/>
    <w:rsid w:val="00DB0988"/>
    <w:rsid w:val="00DB0DC2"/>
    <w:rsid w:val="00DB1258"/>
    <w:rsid w:val="00DB15B2"/>
    <w:rsid w:val="00DB38F3"/>
    <w:rsid w:val="00DB602D"/>
    <w:rsid w:val="00DC1120"/>
    <w:rsid w:val="00DC53B9"/>
    <w:rsid w:val="00DD1748"/>
    <w:rsid w:val="00DD1BFC"/>
    <w:rsid w:val="00DD1EAE"/>
    <w:rsid w:val="00DD201E"/>
    <w:rsid w:val="00DD3C56"/>
    <w:rsid w:val="00DD40BD"/>
    <w:rsid w:val="00DD447F"/>
    <w:rsid w:val="00DD6ED6"/>
    <w:rsid w:val="00DE26C6"/>
    <w:rsid w:val="00DE341F"/>
    <w:rsid w:val="00DE4B44"/>
    <w:rsid w:val="00DE6323"/>
    <w:rsid w:val="00DE6E1D"/>
    <w:rsid w:val="00DF01A2"/>
    <w:rsid w:val="00DF248C"/>
    <w:rsid w:val="00DF2CCC"/>
    <w:rsid w:val="00DF3BFD"/>
    <w:rsid w:val="00E014EA"/>
    <w:rsid w:val="00E01B9A"/>
    <w:rsid w:val="00E03633"/>
    <w:rsid w:val="00E04982"/>
    <w:rsid w:val="00E05319"/>
    <w:rsid w:val="00E104B7"/>
    <w:rsid w:val="00E1127A"/>
    <w:rsid w:val="00E12D9B"/>
    <w:rsid w:val="00E228EE"/>
    <w:rsid w:val="00E229C3"/>
    <w:rsid w:val="00E261A3"/>
    <w:rsid w:val="00E27E25"/>
    <w:rsid w:val="00E304DD"/>
    <w:rsid w:val="00E31F06"/>
    <w:rsid w:val="00E363DC"/>
    <w:rsid w:val="00E37BA9"/>
    <w:rsid w:val="00E37EF1"/>
    <w:rsid w:val="00E4156C"/>
    <w:rsid w:val="00E41A4E"/>
    <w:rsid w:val="00E42DAE"/>
    <w:rsid w:val="00E43545"/>
    <w:rsid w:val="00E43BA3"/>
    <w:rsid w:val="00E448E2"/>
    <w:rsid w:val="00E474E8"/>
    <w:rsid w:val="00E521F7"/>
    <w:rsid w:val="00E536CE"/>
    <w:rsid w:val="00E55FC6"/>
    <w:rsid w:val="00E56A64"/>
    <w:rsid w:val="00E61144"/>
    <w:rsid w:val="00E6151E"/>
    <w:rsid w:val="00E62860"/>
    <w:rsid w:val="00E63ECB"/>
    <w:rsid w:val="00E64696"/>
    <w:rsid w:val="00E70D5B"/>
    <w:rsid w:val="00E712F4"/>
    <w:rsid w:val="00E71BA6"/>
    <w:rsid w:val="00E7275C"/>
    <w:rsid w:val="00E72C80"/>
    <w:rsid w:val="00E7327D"/>
    <w:rsid w:val="00E762FE"/>
    <w:rsid w:val="00E76895"/>
    <w:rsid w:val="00E77E73"/>
    <w:rsid w:val="00E81EA2"/>
    <w:rsid w:val="00E83B4B"/>
    <w:rsid w:val="00E83E02"/>
    <w:rsid w:val="00E8442D"/>
    <w:rsid w:val="00E86983"/>
    <w:rsid w:val="00E87E5C"/>
    <w:rsid w:val="00E90C5A"/>
    <w:rsid w:val="00E91EF3"/>
    <w:rsid w:val="00E92A30"/>
    <w:rsid w:val="00E9507D"/>
    <w:rsid w:val="00E9520C"/>
    <w:rsid w:val="00E95B57"/>
    <w:rsid w:val="00E9684F"/>
    <w:rsid w:val="00E972E7"/>
    <w:rsid w:val="00E9750D"/>
    <w:rsid w:val="00E97541"/>
    <w:rsid w:val="00EA0959"/>
    <w:rsid w:val="00EA0B6A"/>
    <w:rsid w:val="00EA145B"/>
    <w:rsid w:val="00EA2FEC"/>
    <w:rsid w:val="00EA567C"/>
    <w:rsid w:val="00EA64A1"/>
    <w:rsid w:val="00EB18D9"/>
    <w:rsid w:val="00EB2758"/>
    <w:rsid w:val="00EB3998"/>
    <w:rsid w:val="00EB6B84"/>
    <w:rsid w:val="00EB7E99"/>
    <w:rsid w:val="00EC070F"/>
    <w:rsid w:val="00EC1408"/>
    <w:rsid w:val="00EC227A"/>
    <w:rsid w:val="00EC2C66"/>
    <w:rsid w:val="00EC3933"/>
    <w:rsid w:val="00EC65A3"/>
    <w:rsid w:val="00ED01AE"/>
    <w:rsid w:val="00ED2C5C"/>
    <w:rsid w:val="00ED34A3"/>
    <w:rsid w:val="00ED5A96"/>
    <w:rsid w:val="00ED7C80"/>
    <w:rsid w:val="00EE1193"/>
    <w:rsid w:val="00EE1C34"/>
    <w:rsid w:val="00EE1D22"/>
    <w:rsid w:val="00EE3C80"/>
    <w:rsid w:val="00EE539E"/>
    <w:rsid w:val="00EE6F96"/>
    <w:rsid w:val="00EF08C5"/>
    <w:rsid w:val="00EF0906"/>
    <w:rsid w:val="00EF3850"/>
    <w:rsid w:val="00EF5176"/>
    <w:rsid w:val="00EF76C7"/>
    <w:rsid w:val="00F006D1"/>
    <w:rsid w:val="00F019C8"/>
    <w:rsid w:val="00F02A74"/>
    <w:rsid w:val="00F02E93"/>
    <w:rsid w:val="00F0515B"/>
    <w:rsid w:val="00F05D17"/>
    <w:rsid w:val="00F06641"/>
    <w:rsid w:val="00F06667"/>
    <w:rsid w:val="00F076E0"/>
    <w:rsid w:val="00F07CF8"/>
    <w:rsid w:val="00F10C91"/>
    <w:rsid w:val="00F13517"/>
    <w:rsid w:val="00F1448F"/>
    <w:rsid w:val="00F17569"/>
    <w:rsid w:val="00F21282"/>
    <w:rsid w:val="00F213E9"/>
    <w:rsid w:val="00F23924"/>
    <w:rsid w:val="00F23B64"/>
    <w:rsid w:val="00F310F7"/>
    <w:rsid w:val="00F330B0"/>
    <w:rsid w:val="00F3344A"/>
    <w:rsid w:val="00F33775"/>
    <w:rsid w:val="00F337A5"/>
    <w:rsid w:val="00F338B6"/>
    <w:rsid w:val="00F346D4"/>
    <w:rsid w:val="00F34B84"/>
    <w:rsid w:val="00F36AE4"/>
    <w:rsid w:val="00F4070B"/>
    <w:rsid w:val="00F40BC4"/>
    <w:rsid w:val="00F40E01"/>
    <w:rsid w:val="00F434C5"/>
    <w:rsid w:val="00F474EC"/>
    <w:rsid w:val="00F51E2F"/>
    <w:rsid w:val="00F5392C"/>
    <w:rsid w:val="00F53C3C"/>
    <w:rsid w:val="00F62FF1"/>
    <w:rsid w:val="00F631D8"/>
    <w:rsid w:val="00F64BC1"/>
    <w:rsid w:val="00F64CE9"/>
    <w:rsid w:val="00F65A51"/>
    <w:rsid w:val="00F667C5"/>
    <w:rsid w:val="00F70FBD"/>
    <w:rsid w:val="00F7269A"/>
    <w:rsid w:val="00F74091"/>
    <w:rsid w:val="00F75240"/>
    <w:rsid w:val="00F761AB"/>
    <w:rsid w:val="00F76CBF"/>
    <w:rsid w:val="00F77A66"/>
    <w:rsid w:val="00F8108F"/>
    <w:rsid w:val="00F84569"/>
    <w:rsid w:val="00F84A7C"/>
    <w:rsid w:val="00F864D5"/>
    <w:rsid w:val="00F90D87"/>
    <w:rsid w:val="00F932DA"/>
    <w:rsid w:val="00F96FD3"/>
    <w:rsid w:val="00F977F5"/>
    <w:rsid w:val="00FA1C5D"/>
    <w:rsid w:val="00FA32B8"/>
    <w:rsid w:val="00FA56D9"/>
    <w:rsid w:val="00FA78E1"/>
    <w:rsid w:val="00FB6E8F"/>
    <w:rsid w:val="00FB7D4A"/>
    <w:rsid w:val="00FC2BA7"/>
    <w:rsid w:val="00FC300B"/>
    <w:rsid w:val="00FC3B1A"/>
    <w:rsid w:val="00FC4751"/>
    <w:rsid w:val="00FC609F"/>
    <w:rsid w:val="00FC79B0"/>
    <w:rsid w:val="00FD1CDF"/>
    <w:rsid w:val="00FD26DB"/>
    <w:rsid w:val="00FD7720"/>
    <w:rsid w:val="00FE0051"/>
    <w:rsid w:val="00FE0F4A"/>
    <w:rsid w:val="00FE5EF5"/>
    <w:rsid w:val="00FE5FB2"/>
    <w:rsid w:val="00FE719B"/>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13C66780"/>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16195"/>
    <w:rPr>
      <w:color w:val="800080" w:themeColor="followedHyperlink"/>
      <w:u w:val="single"/>
    </w:rPr>
  </w:style>
  <w:style w:type="paragraph" w:styleId="FootnoteText">
    <w:name w:val="footnote text"/>
    <w:basedOn w:val="Normal"/>
    <w:link w:val="FootnoteTextChar"/>
    <w:semiHidden/>
    <w:unhideWhenUsed/>
    <w:rsid w:val="0084630D"/>
    <w:pPr>
      <w:spacing w:before="0" w:after="0"/>
    </w:pPr>
    <w:rPr>
      <w:sz w:val="20"/>
      <w:szCs w:val="20"/>
    </w:rPr>
  </w:style>
  <w:style w:type="character" w:customStyle="1" w:styleId="FootnoteTextChar">
    <w:name w:val="Footnote Text Char"/>
    <w:basedOn w:val="DefaultParagraphFont"/>
    <w:link w:val="FootnoteText"/>
    <w:semiHidden/>
    <w:rsid w:val="0084630D"/>
    <w:rPr>
      <w:rFonts w:ascii="Arial" w:hAnsi="Arial"/>
    </w:rPr>
  </w:style>
  <w:style w:type="character" w:styleId="FootnoteReference">
    <w:name w:val="footnote reference"/>
    <w:basedOn w:val="DefaultParagraphFont"/>
    <w:semiHidden/>
    <w:unhideWhenUsed/>
    <w:rsid w:val="00846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188">
      <w:bodyDiv w:val="1"/>
      <w:marLeft w:val="0"/>
      <w:marRight w:val="0"/>
      <w:marTop w:val="0"/>
      <w:marBottom w:val="0"/>
      <w:divBdr>
        <w:top w:val="none" w:sz="0" w:space="0" w:color="auto"/>
        <w:left w:val="none" w:sz="0" w:space="0" w:color="auto"/>
        <w:bottom w:val="none" w:sz="0" w:space="0" w:color="auto"/>
        <w:right w:val="none" w:sz="0" w:space="0" w:color="auto"/>
      </w:divBdr>
    </w:div>
    <w:div w:id="611981721">
      <w:bodyDiv w:val="1"/>
      <w:marLeft w:val="0"/>
      <w:marRight w:val="0"/>
      <w:marTop w:val="0"/>
      <w:marBottom w:val="0"/>
      <w:divBdr>
        <w:top w:val="none" w:sz="0" w:space="0" w:color="auto"/>
        <w:left w:val="none" w:sz="0" w:space="0" w:color="auto"/>
        <w:bottom w:val="none" w:sz="0" w:space="0" w:color="auto"/>
        <w:right w:val="none" w:sz="0" w:space="0" w:color="auto"/>
      </w:divBdr>
    </w:div>
    <w:div w:id="1075275553">
      <w:bodyDiv w:val="1"/>
      <w:marLeft w:val="0"/>
      <w:marRight w:val="0"/>
      <w:marTop w:val="0"/>
      <w:marBottom w:val="0"/>
      <w:divBdr>
        <w:top w:val="none" w:sz="0" w:space="0" w:color="auto"/>
        <w:left w:val="none" w:sz="0" w:space="0" w:color="auto"/>
        <w:bottom w:val="none" w:sz="0" w:space="0" w:color="auto"/>
        <w:right w:val="none" w:sz="0" w:space="0" w:color="auto"/>
      </w:divBdr>
    </w:div>
    <w:div w:id="1405684804">
      <w:bodyDiv w:val="1"/>
      <w:marLeft w:val="0"/>
      <w:marRight w:val="0"/>
      <w:marTop w:val="0"/>
      <w:marBottom w:val="0"/>
      <w:divBdr>
        <w:top w:val="none" w:sz="0" w:space="0" w:color="auto"/>
        <w:left w:val="none" w:sz="0" w:space="0" w:color="auto"/>
        <w:bottom w:val="none" w:sz="0" w:space="0" w:color="auto"/>
        <w:right w:val="none" w:sz="0" w:space="0" w:color="auto"/>
      </w:divBdr>
    </w:div>
    <w:div w:id="1483110994">
      <w:bodyDiv w:val="1"/>
      <w:marLeft w:val="0"/>
      <w:marRight w:val="0"/>
      <w:marTop w:val="0"/>
      <w:marBottom w:val="0"/>
      <w:divBdr>
        <w:top w:val="none" w:sz="0" w:space="0" w:color="auto"/>
        <w:left w:val="none" w:sz="0" w:space="0" w:color="auto"/>
        <w:bottom w:val="none" w:sz="0" w:space="0" w:color="auto"/>
        <w:right w:val="none" w:sz="0" w:space="0" w:color="auto"/>
      </w:divBdr>
    </w:div>
    <w:div w:id="1594705719">
      <w:bodyDiv w:val="1"/>
      <w:marLeft w:val="0"/>
      <w:marRight w:val="0"/>
      <w:marTop w:val="0"/>
      <w:marBottom w:val="0"/>
      <w:divBdr>
        <w:top w:val="none" w:sz="0" w:space="0" w:color="auto"/>
        <w:left w:val="none" w:sz="0" w:space="0" w:color="auto"/>
        <w:bottom w:val="none" w:sz="0" w:space="0" w:color="auto"/>
        <w:right w:val="none" w:sz="0" w:space="0" w:color="auto"/>
      </w:divBdr>
    </w:div>
    <w:div w:id="1596747776">
      <w:bodyDiv w:val="1"/>
      <w:marLeft w:val="0"/>
      <w:marRight w:val="0"/>
      <w:marTop w:val="0"/>
      <w:marBottom w:val="0"/>
      <w:divBdr>
        <w:top w:val="none" w:sz="0" w:space="0" w:color="auto"/>
        <w:left w:val="none" w:sz="0" w:space="0" w:color="auto"/>
        <w:bottom w:val="none" w:sz="0" w:space="0" w:color="auto"/>
        <w:right w:val="none" w:sz="0" w:space="0" w:color="auto"/>
      </w:divBdr>
    </w:div>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 w:id="20135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png"/><Relationship Id="rId21" Type="http://schemas.openxmlformats.org/officeDocument/2006/relationships/hyperlink" Target="http://www.housingpathways.nsw.gov.au/How+to+Apply/Expected+Waiting+Tim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hyperlink" Target="https://communityhousing.org.au/our-impact/data-dashboard/"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s://www.facs.nsw.gov.au/resources/statistics/social-housing-residential-dwellings/facs-quarterly-statistics-social-housing-dwell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communityhousing.org.au/wp-content/uploads/2022/08/Community-Housing-Snapshot-2022.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yperlink" Target="https://www.facs.nsw.gov.au/housing/help/applying-assistance/expected-waiting-times"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facs.nsw.gov.au/resources/statistics/social-housing-delivery2/interactive-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www.facs.nsw.gov.au/resources/nsw-local-government-housing-kit/chapters/local-government-housing-kit-database" TargetMode="External"/><Relationship Id="rId30" Type="http://schemas.openxmlformats.org/officeDocument/2006/relationships/hyperlink" Target="https://public.tableau.com/app/profile/facs.statistics/viz/Social_Housing_Residential_Dwellings/Dashboard"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F77D5-0121-4F5D-8113-1AC761A6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467</TotalTime>
  <Pages>17</Pages>
  <Words>3955</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Human Services</Company>
  <LinksUpToDate>false</LinksUpToDate>
  <CharactersWithSpaces>25901</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template - green</dc:title>
  <dc:creator>Laura Yan Guo</dc:creator>
  <cp:lastModifiedBy>Philippa Davis</cp:lastModifiedBy>
  <cp:revision>60</cp:revision>
  <cp:lastPrinted>1900-12-31T14:00:00Z</cp:lastPrinted>
  <dcterms:created xsi:type="dcterms:W3CDTF">2023-03-07T04:17:00Z</dcterms:created>
  <dcterms:modified xsi:type="dcterms:W3CDTF">2023-11-29T02:52:00Z</dcterms:modified>
</cp:coreProperties>
</file>